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846D5" w14:textId="77777777" w:rsidR="002B7539" w:rsidRDefault="002B7539" w:rsidP="00A72A65">
      <w:pPr>
        <w:widowControl w:val="0"/>
        <w:spacing w:line="360" w:lineRule="auto"/>
        <w:jc w:val="both"/>
        <w:outlineLvl w:val="0"/>
        <w:rPr>
          <w:rFonts w:ascii="Arial" w:hAnsi="Arial" w:cs="Arial"/>
          <w:b/>
          <w:sz w:val="32"/>
          <w:lang w:val="es-PE"/>
        </w:rPr>
      </w:pPr>
    </w:p>
    <w:p w14:paraId="2A420823" w14:textId="77777777" w:rsidR="002B7539" w:rsidRDefault="002B7539" w:rsidP="00A72A65">
      <w:pPr>
        <w:widowControl w:val="0"/>
        <w:spacing w:line="360" w:lineRule="auto"/>
        <w:jc w:val="both"/>
        <w:outlineLvl w:val="0"/>
        <w:rPr>
          <w:rFonts w:ascii="Arial" w:hAnsi="Arial" w:cs="Arial"/>
          <w:b/>
          <w:sz w:val="32"/>
          <w:lang w:val="es-PE"/>
        </w:rPr>
      </w:pPr>
    </w:p>
    <w:p w14:paraId="423EE761" w14:textId="77777777" w:rsidR="002B7539" w:rsidRPr="00A72A65" w:rsidRDefault="00A04F37" w:rsidP="003E4EF1">
      <w:pPr>
        <w:widowControl w:val="0"/>
        <w:spacing w:line="360" w:lineRule="auto"/>
        <w:jc w:val="center"/>
        <w:outlineLvl w:val="0"/>
        <w:rPr>
          <w:rFonts w:asciiTheme="majorHAnsi" w:hAnsiTheme="majorHAnsi" w:cstheme="majorHAnsi"/>
          <w:b/>
          <w:sz w:val="32"/>
          <w:lang w:val="es-ES"/>
        </w:rPr>
      </w:pPr>
      <w:r w:rsidRPr="00A72A65">
        <w:rPr>
          <w:rFonts w:asciiTheme="majorHAnsi" w:hAnsiTheme="majorHAnsi" w:cstheme="majorHAnsi"/>
          <w:b/>
          <w:sz w:val="32"/>
          <w:lang w:val="es-ES"/>
        </w:rPr>
        <w:t>PROTOCOLO DE INVESTIGACION</w:t>
      </w:r>
    </w:p>
    <w:p w14:paraId="50DDE2EF" w14:textId="77777777" w:rsidR="0041161F" w:rsidRPr="00A72A65" w:rsidRDefault="0041161F" w:rsidP="003E4EF1">
      <w:pPr>
        <w:widowControl w:val="0"/>
        <w:spacing w:line="360" w:lineRule="auto"/>
        <w:jc w:val="center"/>
        <w:outlineLvl w:val="0"/>
        <w:rPr>
          <w:rFonts w:asciiTheme="majorHAnsi" w:hAnsiTheme="majorHAnsi" w:cstheme="majorHAnsi"/>
          <w:b/>
          <w:bCs/>
          <w:iCs/>
          <w:lang w:val="es-ES"/>
        </w:rPr>
      </w:pPr>
      <w:r w:rsidRPr="00A72A65">
        <w:rPr>
          <w:rFonts w:asciiTheme="majorHAnsi" w:hAnsiTheme="majorHAnsi" w:cstheme="majorHAnsi"/>
          <w:b/>
          <w:bCs/>
          <w:iCs/>
          <w:lang w:val="es-ES"/>
        </w:rPr>
        <w:t>GRUPO DE ESTUDIO LATINOAMERICANO DE LINFOPROLIFERATIVOS</w:t>
      </w:r>
    </w:p>
    <w:p w14:paraId="503BD71A" w14:textId="77777777" w:rsidR="002B7539" w:rsidRPr="00A72A65" w:rsidRDefault="002B7539" w:rsidP="003E4EF1">
      <w:pPr>
        <w:widowControl w:val="0"/>
        <w:spacing w:line="360" w:lineRule="auto"/>
        <w:jc w:val="center"/>
        <w:rPr>
          <w:rFonts w:asciiTheme="majorHAnsi" w:hAnsiTheme="majorHAnsi" w:cstheme="majorHAnsi"/>
          <w:lang w:val="es-ES"/>
        </w:rPr>
      </w:pPr>
    </w:p>
    <w:p w14:paraId="22B7EA40" w14:textId="77777777" w:rsidR="002B7539" w:rsidRPr="00A72A65" w:rsidRDefault="002B7539" w:rsidP="003E4EF1">
      <w:pPr>
        <w:widowControl w:val="0"/>
        <w:spacing w:line="360" w:lineRule="auto"/>
        <w:jc w:val="center"/>
        <w:rPr>
          <w:rFonts w:asciiTheme="majorHAnsi" w:hAnsiTheme="majorHAnsi" w:cstheme="majorHAnsi"/>
          <w:lang w:val="es-ES"/>
        </w:rPr>
      </w:pPr>
    </w:p>
    <w:p w14:paraId="04A24FA7" w14:textId="2DD00EDD" w:rsidR="002B7539" w:rsidRPr="00A72A65" w:rsidRDefault="002B7539" w:rsidP="003E4EF1">
      <w:pPr>
        <w:widowControl w:val="0"/>
        <w:tabs>
          <w:tab w:val="left" w:pos="5659"/>
        </w:tabs>
        <w:spacing w:line="360" w:lineRule="auto"/>
        <w:jc w:val="center"/>
        <w:rPr>
          <w:rFonts w:asciiTheme="majorHAnsi" w:hAnsiTheme="majorHAnsi" w:cstheme="majorHAnsi"/>
          <w:lang w:val="es-ES"/>
        </w:rPr>
      </w:pPr>
    </w:p>
    <w:p w14:paraId="61D66832" w14:textId="77777777" w:rsidR="002B7539" w:rsidRPr="00A72A65" w:rsidRDefault="00A04F37" w:rsidP="003E4EF1">
      <w:pPr>
        <w:spacing w:line="360" w:lineRule="auto"/>
        <w:jc w:val="center"/>
        <w:rPr>
          <w:rFonts w:asciiTheme="majorHAnsi" w:hAnsiTheme="majorHAnsi" w:cstheme="majorHAnsi"/>
          <w:b/>
          <w:lang w:val="es-ES"/>
        </w:rPr>
      </w:pPr>
      <w:r w:rsidRPr="00A72A65">
        <w:rPr>
          <w:rFonts w:asciiTheme="majorHAnsi" w:hAnsiTheme="majorHAnsi" w:cstheme="majorHAnsi"/>
          <w:b/>
          <w:lang w:val="es-ES"/>
        </w:rPr>
        <w:t>Epidemiología, estudios pronósticos y patrones de tratamiento de Leucemia Linfoide Crónica / Linfoma Linfocitico de Células Pequeñas en Latinoamérica</w:t>
      </w:r>
    </w:p>
    <w:p w14:paraId="79683EA5" w14:textId="77777777" w:rsidR="002B7539" w:rsidRPr="00A72A65" w:rsidRDefault="002B7539" w:rsidP="00A72A65">
      <w:pPr>
        <w:spacing w:line="360" w:lineRule="auto"/>
        <w:jc w:val="both"/>
        <w:rPr>
          <w:rFonts w:asciiTheme="majorHAnsi" w:hAnsiTheme="majorHAnsi" w:cstheme="majorHAnsi"/>
          <w:b/>
          <w:lang w:val="es-ES"/>
        </w:rPr>
      </w:pPr>
    </w:p>
    <w:p w14:paraId="35540A3F" w14:textId="2BB08B4A" w:rsidR="0041161F" w:rsidRPr="00A72A65" w:rsidRDefault="0041161F" w:rsidP="00A72A65">
      <w:pPr>
        <w:widowControl w:val="0"/>
        <w:spacing w:line="360" w:lineRule="auto"/>
        <w:jc w:val="both"/>
        <w:outlineLvl w:val="0"/>
        <w:rPr>
          <w:rFonts w:asciiTheme="majorHAnsi" w:hAnsiTheme="majorHAnsi" w:cstheme="majorHAnsi"/>
          <w:b/>
          <w:bCs/>
          <w:iCs/>
          <w:lang w:val="es-ES"/>
        </w:rPr>
      </w:pPr>
    </w:p>
    <w:p w14:paraId="2EDC5606" w14:textId="77777777" w:rsidR="0041161F" w:rsidRPr="00A72A65" w:rsidRDefault="0041161F" w:rsidP="00A72A65">
      <w:pPr>
        <w:widowControl w:val="0"/>
        <w:spacing w:line="360" w:lineRule="auto"/>
        <w:jc w:val="both"/>
        <w:outlineLvl w:val="0"/>
        <w:rPr>
          <w:rFonts w:asciiTheme="majorHAnsi" w:hAnsiTheme="majorHAnsi" w:cstheme="majorHAnsi"/>
          <w:b/>
          <w:bCs/>
          <w:iCs/>
          <w:lang w:val="es-ES"/>
        </w:rPr>
      </w:pPr>
    </w:p>
    <w:p w14:paraId="75168BEE" w14:textId="77777777" w:rsidR="00B9137B" w:rsidRDefault="0041161F" w:rsidP="00A72A65">
      <w:pPr>
        <w:widowControl w:val="0"/>
        <w:spacing w:line="360" w:lineRule="auto"/>
        <w:jc w:val="both"/>
        <w:outlineLvl w:val="0"/>
        <w:rPr>
          <w:rFonts w:asciiTheme="majorHAnsi" w:hAnsiTheme="majorHAnsi" w:cstheme="majorHAnsi"/>
          <w:b/>
          <w:bCs/>
          <w:iCs/>
          <w:lang w:val="es-ES"/>
        </w:rPr>
      </w:pPr>
      <w:r w:rsidRPr="00A72A65">
        <w:rPr>
          <w:rFonts w:asciiTheme="majorHAnsi" w:hAnsiTheme="majorHAnsi" w:cstheme="majorHAnsi"/>
          <w:b/>
          <w:bCs/>
          <w:iCs/>
          <w:lang w:val="es-ES"/>
        </w:rPr>
        <w:t xml:space="preserve">Autores: </w:t>
      </w:r>
    </w:p>
    <w:p w14:paraId="3786CBA4" w14:textId="7BD58259" w:rsidR="0041161F" w:rsidRDefault="00B9137B" w:rsidP="00A72A65">
      <w:pPr>
        <w:widowControl w:val="0"/>
        <w:spacing w:line="360" w:lineRule="auto"/>
        <w:jc w:val="both"/>
        <w:outlineLvl w:val="0"/>
        <w:rPr>
          <w:rFonts w:asciiTheme="majorHAnsi" w:hAnsiTheme="majorHAnsi" w:cstheme="majorHAnsi"/>
          <w:b/>
          <w:bCs/>
          <w:iCs/>
          <w:lang w:val="es-ES"/>
        </w:rPr>
      </w:pPr>
      <w:r>
        <w:rPr>
          <w:rFonts w:asciiTheme="majorHAnsi" w:hAnsiTheme="majorHAnsi" w:cstheme="majorHAnsi"/>
          <w:b/>
          <w:bCs/>
          <w:iCs/>
          <w:lang w:val="es-ES"/>
        </w:rPr>
        <w:t xml:space="preserve">Grupo Uruguayo de Linfoma: </w:t>
      </w:r>
      <w:r w:rsidR="009467A9" w:rsidRPr="00A72A65">
        <w:rPr>
          <w:rFonts w:asciiTheme="majorHAnsi" w:hAnsiTheme="majorHAnsi" w:cstheme="majorHAnsi"/>
          <w:b/>
          <w:bCs/>
          <w:iCs/>
          <w:lang w:val="es-ES"/>
        </w:rPr>
        <w:t>Dra. Carolina Oliver, Dra. Victoria Irigo</w:t>
      </w:r>
      <w:r w:rsidR="00A72A65">
        <w:rPr>
          <w:rFonts w:asciiTheme="majorHAnsi" w:hAnsiTheme="majorHAnsi" w:cstheme="majorHAnsi"/>
          <w:b/>
          <w:bCs/>
          <w:iCs/>
          <w:lang w:val="es-ES"/>
        </w:rPr>
        <w:t>í</w:t>
      </w:r>
      <w:r w:rsidR="009467A9" w:rsidRPr="00A72A65">
        <w:rPr>
          <w:rFonts w:asciiTheme="majorHAnsi" w:hAnsiTheme="majorHAnsi" w:cstheme="majorHAnsi"/>
          <w:b/>
          <w:bCs/>
          <w:iCs/>
          <w:lang w:val="es-ES"/>
        </w:rPr>
        <w:t>n, Dra. Ana In</w:t>
      </w:r>
      <w:r w:rsidR="00A72A65">
        <w:rPr>
          <w:rFonts w:asciiTheme="majorHAnsi" w:hAnsiTheme="majorHAnsi" w:cstheme="majorHAnsi"/>
          <w:b/>
          <w:bCs/>
          <w:iCs/>
          <w:lang w:val="es-ES"/>
        </w:rPr>
        <w:t>é</w:t>
      </w:r>
      <w:r w:rsidR="009467A9" w:rsidRPr="00A72A65">
        <w:rPr>
          <w:rFonts w:asciiTheme="majorHAnsi" w:hAnsiTheme="majorHAnsi" w:cstheme="majorHAnsi"/>
          <w:b/>
          <w:bCs/>
          <w:iCs/>
          <w:lang w:val="es-ES"/>
        </w:rPr>
        <w:t>s Landoni</w:t>
      </w:r>
    </w:p>
    <w:p w14:paraId="4F2C0E01" w14:textId="77777777" w:rsidR="00FF7AD2" w:rsidRDefault="00FF7AD2" w:rsidP="00A72A65">
      <w:pPr>
        <w:widowControl w:val="0"/>
        <w:spacing w:line="360" w:lineRule="auto"/>
        <w:jc w:val="both"/>
        <w:outlineLvl w:val="0"/>
        <w:rPr>
          <w:rFonts w:asciiTheme="majorHAnsi" w:hAnsiTheme="majorHAnsi" w:cstheme="majorHAnsi"/>
          <w:b/>
          <w:bCs/>
          <w:iCs/>
          <w:lang w:val="es-ES"/>
        </w:rPr>
      </w:pPr>
    </w:p>
    <w:p w14:paraId="6B97173C" w14:textId="77B6B164" w:rsidR="003E4EF1" w:rsidRPr="00A72A65" w:rsidRDefault="00B9137B" w:rsidP="00A72A65">
      <w:pPr>
        <w:widowControl w:val="0"/>
        <w:spacing w:line="360" w:lineRule="auto"/>
        <w:jc w:val="both"/>
        <w:outlineLvl w:val="0"/>
        <w:rPr>
          <w:rFonts w:asciiTheme="majorHAnsi" w:hAnsiTheme="majorHAnsi" w:cstheme="majorHAnsi"/>
          <w:b/>
          <w:bCs/>
          <w:iCs/>
          <w:lang w:val="es-ES"/>
        </w:rPr>
      </w:pPr>
      <w:r w:rsidRPr="00B9137B">
        <w:rPr>
          <w:rFonts w:asciiTheme="majorHAnsi" w:hAnsiTheme="majorHAnsi" w:cstheme="majorHAnsi"/>
          <w:b/>
          <w:bCs/>
          <w:iCs/>
          <w:lang w:val="es-ES"/>
        </w:rPr>
        <w:t xml:space="preserve">Grupo Mexicano de Linfoma: Dr. Luis Villela. </w:t>
      </w:r>
    </w:p>
    <w:p w14:paraId="207479C6" w14:textId="77777777" w:rsidR="009467A9" w:rsidRPr="00A72A65" w:rsidRDefault="009467A9" w:rsidP="00A72A65">
      <w:pPr>
        <w:widowControl w:val="0"/>
        <w:spacing w:line="360" w:lineRule="auto"/>
        <w:jc w:val="both"/>
        <w:outlineLvl w:val="0"/>
        <w:rPr>
          <w:rFonts w:asciiTheme="majorHAnsi" w:hAnsiTheme="majorHAnsi" w:cstheme="majorHAnsi"/>
          <w:b/>
          <w:bCs/>
          <w:iCs/>
          <w:lang w:val="es-ES"/>
        </w:rPr>
      </w:pPr>
    </w:p>
    <w:p w14:paraId="1712F9A2" w14:textId="77777777" w:rsidR="0041161F" w:rsidRDefault="0041161F" w:rsidP="00A72A65">
      <w:pPr>
        <w:pStyle w:val="Prrafodelista"/>
        <w:widowControl w:val="0"/>
        <w:spacing w:line="360" w:lineRule="auto"/>
        <w:jc w:val="both"/>
        <w:outlineLvl w:val="0"/>
        <w:rPr>
          <w:rFonts w:asciiTheme="majorHAnsi" w:hAnsiTheme="majorHAnsi" w:cstheme="majorHAnsi"/>
          <w:b/>
          <w:bCs/>
          <w:iCs/>
          <w:lang w:val="es-ES"/>
        </w:rPr>
      </w:pPr>
    </w:p>
    <w:p w14:paraId="374002D3" w14:textId="77777777" w:rsidR="00B24FCF" w:rsidRDefault="00B24FCF" w:rsidP="00A72A65">
      <w:pPr>
        <w:pStyle w:val="Prrafodelista"/>
        <w:widowControl w:val="0"/>
        <w:spacing w:line="360" w:lineRule="auto"/>
        <w:jc w:val="both"/>
        <w:outlineLvl w:val="0"/>
        <w:rPr>
          <w:rFonts w:asciiTheme="majorHAnsi" w:hAnsiTheme="majorHAnsi" w:cstheme="majorHAnsi"/>
          <w:b/>
          <w:bCs/>
          <w:iCs/>
          <w:lang w:val="es-ES"/>
        </w:rPr>
      </w:pPr>
    </w:p>
    <w:p w14:paraId="2DB92561" w14:textId="77777777" w:rsidR="00B24FCF" w:rsidRDefault="00B24FCF" w:rsidP="00A72A65">
      <w:pPr>
        <w:pStyle w:val="Prrafodelista"/>
        <w:widowControl w:val="0"/>
        <w:spacing w:line="360" w:lineRule="auto"/>
        <w:jc w:val="both"/>
        <w:outlineLvl w:val="0"/>
        <w:rPr>
          <w:rFonts w:asciiTheme="majorHAnsi" w:hAnsiTheme="majorHAnsi" w:cstheme="majorHAnsi"/>
          <w:b/>
          <w:bCs/>
          <w:iCs/>
          <w:lang w:val="es-ES"/>
        </w:rPr>
      </w:pPr>
    </w:p>
    <w:p w14:paraId="32DBD414" w14:textId="77777777" w:rsidR="00B24FCF" w:rsidRPr="00A72A65" w:rsidRDefault="00B24FCF" w:rsidP="00A72A65">
      <w:pPr>
        <w:pStyle w:val="Prrafodelista"/>
        <w:widowControl w:val="0"/>
        <w:spacing w:line="360" w:lineRule="auto"/>
        <w:jc w:val="both"/>
        <w:outlineLvl w:val="0"/>
        <w:rPr>
          <w:rFonts w:asciiTheme="majorHAnsi" w:hAnsiTheme="majorHAnsi" w:cstheme="majorHAnsi"/>
          <w:b/>
          <w:bCs/>
          <w:iCs/>
          <w:lang w:val="es-ES"/>
        </w:rPr>
      </w:pPr>
      <w:bookmarkStart w:id="0" w:name="_GoBack"/>
      <w:bookmarkEnd w:id="0"/>
    </w:p>
    <w:p w14:paraId="1FF45559" w14:textId="36D8AED9" w:rsidR="0041161F" w:rsidRPr="00B9137B" w:rsidRDefault="0041161F" w:rsidP="00B9137B">
      <w:pPr>
        <w:widowControl w:val="0"/>
        <w:spacing w:line="360" w:lineRule="auto"/>
        <w:jc w:val="both"/>
        <w:outlineLvl w:val="0"/>
        <w:rPr>
          <w:rFonts w:asciiTheme="majorHAnsi" w:hAnsiTheme="majorHAnsi" w:cstheme="majorHAnsi"/>
          <w:b/>
          <w:bCs/>
          <w:iCs/>
          <w:lang w:val="es-ES"/>
        </w:rPr>
      </w:pPr>
    </w:p>
    <w:p w14:paraId="6FB7778E" w14:textId="77777777" w:rsidR="002B7539" w:rsidRPr="00A72A65" w:rsidRDefault="002B7539" w:rsidP="00A72A65">
      <w:pPr>
        <w:jc w:val="both"/>
        <w:rPr>
          <w:rFonts w:asciiTheme="majorHAnsi" w:hAnsiTheme="majorHAnsi" w:cstheme="majorHAnsi"/>
          <w:lang w:val="es-ES"/>
        </w:rPr>
      </w:pPr>
    </w:p>
    <w:p w14:paraId="6C726DCE" w14:textId="77777777" w:rsidR="002B7539" w:rsidRPr="00A72A65" w:rsidRDefault="002B7539" w:rsidP="00A72A65">
      <w:pPr>
        <w:jc w:val="both"/>
        <w:rPr>
          <w:rFonts w:asciiTheme="majorHAnsi" w:hAnsiTheme="majorHAnsi" w:cstheme="majorHAnsi"/>
          <w:lang w:val="es-ES"/>
        </w:rPr>
      </w:pPr>
    </w:p>
    <w:p w14:paraId="7CEB7556" w14:textId="77777777" w:rsidR="002B7539" w:rsidRPr="00A72A65" w:rsidRDefault="002B7539" w:rsidP="00A72A65">
      <w:pPr>
        <w:jc w:val="both"/>
        <w:rPr>
          <w:rFonts w:asciiTheme="majorHAnsi" w:hAnsiTheme="majorHAnsi" w:cstheme="majorHAnsi"/>
          <w:lang w:val="es-ES"/>
        </w:rPr>
      </w:pPr>
    </w:p>
    <w:p w14:paraId="70016E08" w14:textId="77777777" w:rsidR="002B7539" w:rsidRPr="00A72A65" w:rsidRDefault="002B7539" w:rsidP="00A72A65">
      <w:pPr>
        <w:widowControl w:val="0"/>
        <w:spacing w:line="360" w:lineRule="auto"/>
        <w:jc w:val="both"/>
        <w:rPr>
          <w:rFonts w:asciiTheme="majorHAnsi" w:hAnsiTheme="majorHAnsi" w:cstheme="majorHAnsi"/>
          <w:lang w:val="es-ES"/>
        </w:rPr>
      </w:pPr>
    </w:p>
    <w:p w14:paraId="01E72A9C" w14:textId="77777777" w:rsidR="002B7539" w:rsidRPr="00A72A65" w:rsidRDefault="002B7539" w:rsidP="00A72A65">
      <w:pPr>
        <w:widowControl w:val="0"/>
        <w:spacing w:line="360" w:lineRule="auto"/>
        <w:jc w:val="both"/>
        <w:rPr>
          <w:rFonts w:asciiTheme="majorHAnsi" w:hAnsiTheme="majorHAnsi" w:cstheme="majorHAnsi"/>
          <w:lang w:val="es-ES"/>
        </w:rPr>
      </w:pPr>
    </w:p>
    <w:p w14:paraId="1C5A6656" w14:textId="77777777" w:rsidR="002B7539" w:rsidRPr="00A72A65" w:rsidRDefault="002B7539" w:rsidP="00A72A65">
      <w:pPr>
        <w:widowControl w:val="0"/>
        <w:spacing w:line="360" w:lineRule="auto"/>
        <w:jc w:val="both"/>
        <w:rPr>
          <w:rFonts w:asciiTheme="majorHAnsi" w:hAnsiTheme="majorHAnsi" w:cstheme="majorHAnsi"/>
          <w:b/>
          <w:bCs/>
          <w:iCs/>
          <w:lang w:val="es-ES"/>
        </w:rPr>
      </w:pPr>
    </w:p>
    <w:p w14:paraId="5314A58B" w14:textId="77777777" w:rsidR="002B7539" w:rsidRPr="00A72A65" w:rsidRDefault="002B7539" w:rsidP="00A72A65">
      <w:pPr>
        <w:widowControl w:val="0"/>
        <w:spacing w:line="360" w:lineRule="auto"/>
        <w:jc w:val="both"/>
        <w:rPr>
          <w:rFonts w:asciiTheme="majorHAnsi" w:hAnsiTheme="majorHAnsi" w:cstheme="majorHAnsi"/>
          <w:b/>
          <w:bCs/>
          <w:iCs/>
          <w:lang w:val="es-ES"/>
        </w:rPr>
      </w:pPr>
    </w:p>
    <w:p w14:paraId="5A1FAE18" w14:textId="77777777" w:rsidR="002B7539" w:rsidRPr="00A72A65" w:rsidRDefault="002B7539" w:rsidP="00A72A65">
      <w:pPr>
        <w:widowControl w:val="0"/>
        <w:spacing w:line="360" w:lineRule="auto"/>
        <w:jc w:val="both"/>
        <w:rPr>
          <w:rFonts w:asciiTheme="majorHAnsi" w:hAnsiTheme="majorHAnsi" w:cstheme="majorHAnsi"/>
          <w:b/>
          <w:bCs/>
          <w:iCs/>
          <w:lang w:val="es-ES"/>
        </w:rPr>
      </w:pPr>
    </w:p>
    <w:p w14:paraId="24EEF397" w14:textId="77777777" w:rsidR="0041161F" w:rsidRPr="00A72A65" w:rsidRDefault="0041161F" w:rsidP="00A72A65">
      <w:pPr>
        <w:widowControl w:val="0"/>
        <w:spacing w:line="360" w:lineRule="auto"/>
        <w:jc w:val="both"/>
        <w:rPr>
          <w:rFonts w:asciiTheme="majorHAnsi" w:hAnsiTheme="majorHAnsi" w:cstheme="majorHAnsi"/>
          <w:b/>
          <w:bCs/>
          <w:iCs/>
          <w:lang w:val="es-ES"/>
        </w:rPr>
      </w:pPr>
    </w:p>
    <w:p w14:paraId="239A980A" w14:textId="68221441" w:rsidR="00A72A65" w:rsidRDefault="003E4EF1" w:rsidP="00FF7AD2">
      <w:pPr>
        <w:widowControl w:val="0"/>
        <w:spacing w:line="360" w:lineRule="auto"/>
        <w:jc w:val="center"/>
        <w:rPr>
          <w:rFonts w:asciiTheme="majorHAnsi" w:hAnsiTheme="majorHAnsi" w:cstheme="majorHAnsi"/>
          <w:b/>
          <w:bCs/>
          <w:iCs/>
          <w:lang w:val="es-ES"/>
        </w:rPr>
      </w:pPr>
      <w:r w:rsidRPr="00A72A65">
        <w:rPr>
          <w:rFonts w:asciiTheme="majorHAnsi" w:hAnsiTheme="majorHAnsi" w:cstheme="majorHAnsi"/>
          <w:b/>
          <w:bCs/>
          <w:iCs/>
          <w:lang w:val="es-ES"/>
        </w:rPr>
        <w:lastRenderedPageBreak/>
        <w:t>Enero 2021</w:t>
      </w:r>
      <w:r w:rsidR="00A04F37" w:rsidRPr="00A72A65">
        <w:rPr>
          <w:rFonts w:asciiTheme="majorHAnsi" w:hAnsiTheme="majorHAnsi" w:cstheme="majorHAnsi"/>
          <w:b/>
          <w:bCs/>
          <w:iCs/>
          <w:lang w:val="es-ES"/>
        </w:rPr>
        <w:t xml:space="preserve"> -  V1</w:t>
      </w:r>
    </w:p>
    <w:p w14:paraId="0B814A89" w14:textId="77777777" w:rsidR="00A72A65" w:rsidRDefault="00A72A65" w:rsidP="00A72A65">
      <w:pPr>
        <w:spacing w:line="360" w:lineRule="auto"/>
        <w:jc w:val="both"/>
        <w:rPr>
          <w:rFonts w:asciiTheme="majorHAnsi" w:eastAsia="Times New Roman" w:hAnsiTheme="majorHAnsi" w:cstheme="majorHAnsi"/>
          <w:b/>
          <w:sz w:val="22"/>
          <w:szCs w:val="22"/>
          <w:lang w:val="es-ES"/>
        </w:rPr>
      </w:pPr>
    </w:p>
    <w:p w14:paraId="34C3DB50" w14:textId="7CC77931" w:rsidR="002B7539" w:rsidRPr="00A72A65" w:rsidRDefault="00A04F37" w:rsidP="00A72A65">
      <w:pPr>
        <w:spacing w:line="360" w:lineRule="auto"/>
        <w:jc w:val="both"/>
        <w:rPr>
          <w:rFonts w:asciiTheme="majorHAnsi" w:eastAsia="Times New Roman" w:hAnsiTheme="majorHAnsi" w:cstheme="majorHAnsi"/>
          <w:b/>
          <w:sz w:val="22"/>
          <w:szCs w:val="22"/>
          <w:lang w:val="es-ES"/>
        </w:rPr>
      </w:pPr>
      <w:r w:rsidRPr="00A72A65">
        <w:rPr>
          <w:rFonts w:asciiTheme="majorHAnsi" w:eastAsia="Times New Roman" w:hAnsiTheme="majorHAnsi" w:cstheme="majorHAnsi"/>
          <w:b/>
          <w:sz w:val="22"/>
          <w:szCs w:val="22"/>
          <w:lang w:val="es-ES"/>
        </w:rPr>
        <w:t>INDICE</w:t>
      </w:r>
    </w:p>
    <w:p w14:paraId="58C15FAE"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176DC553" w14:textId="331DC084"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 xml:space="preserve">Índice </w:t>
      </w:r>
      <w:r w:rsidR="00A72A65">
        <w:rPr>
          <w:rFonts w:asciiTheme="majorHAnsi" w:hAnsiTheme="majorHAnsi" w:cstheme="majorHAnsi"/>
          <w:color w:val="000000"/>
          <w:sz w:val="20"/>
          <w:szCs w:val="20"/>
          <w:lang w:val="es-ES"/>
        </w:rPr>
        <w:tab/>
      </w:r>
      <w:r w:rsidR="00A72A65">
        <w:rPr>
          <w:rFonts w:asciiTheme="majorHAnsi" w:hAnsiTheme="majorHAnsi" w:cstheme="majorHAnsi"/>
          <w:color w:val="000000"/>
          <w:sz w:val="20"/>
          <w:szCs w:val="20"/>
          <w:lang w:val="es-ES"/>
        </w:rPr>
        <w:tab/>
      </w:r>
      <w:r w:rsidR="00A72A65">
        <w:rPr>
          <w:rFonts w:asciiTheme="majorHAnsi" w:hAnsiTheme="majorHAnsi" w:cstheme="majorHAnsi"/>
          <w:color w:val="000000"/>
          <w:sz w:val="20"/>
          <w:szCs w:val="20"/>
          <w:lang w:val="es-ES"/>
        </w:rPr>
        <w:tab/>
      </w:r>
      <w:r w:rsidR="00A72A65">
        <w:rPr>
          <w:rFonts w:asciiTheme="majorHAnsi" w:hAnsiTheme="majorHAnsi" w:cstheme="majorHAnsi"/>
          <w:color w:val="000000"/>
          <w:sz w:val="20"/>
          <w:szCs w:val="20"/>
          <w:lang w:val="es-ES"/>
        </w:rPr>
        <w:tab/>
      </w:r>
      <w:r w:rsidR="00A72A65">
        <w:rPr>
          <w:rFonts w:asciiTheme="majorHAnsi" w:hAnsiTheme="majorHAnsi" w:cstheme="majorHAnsi"/>
          <w:color w:val="000000"/>
          <w:sz w:val="20"/>
          <w:szCs w:val="20"/>
          <w:lang w:val="es-ES"/>
        </w:rPr>
        <w:tab/>
      </w:r>
      <w:r w:rsidR="00A72A65">
        <w:rPr>
          <w:rFonts w:asciiTheme="majorHAnsi" w:hAnsiTheme="majorHAnsi" w:cstheme="majorHAnsi"/>
          <w:color w:val="000000"/>
          <w:sz w:val="20"/>
          <w:szCs w:val="20"/>
          <w:lang w:val="es-ES"/>
        </w:rPr>
        <w:tab/>
      </w:r>
      <w:r w:rsidR="00A72A65">
        <w:rPr>
          <w:rFonts w:asciiTheme="majorHAnsi" w:hAnsiTheme="majorHAnsi" w:cstheme="majorHAnsi"/>
          <w:color w:val="000000"/>
          <w:sz w:val="20"/>
          <w:szCs w:val="20"/>
          <w:lang w:val="es-ES"/>
        </w:rPr>
        <w:tab/>
      </w:r>
      <w:r w:rsidR="00A72A65">
        <w:rPr>
          <w:rFonts w:asciiTheme="majorHAnsi" w:hAnsiTheme="majorHAnsi" w:cstheme="majorHAnsi"/>
          <w:color w:val="000000"/>
          <w:sz w:val="20"/>
          <w:szCs w:val="20"/>
          <w:lang w:val="es-ES"/>
        </w:rPr>
        <w:tab/>
      </w:r>
      <w:r w:rsidR="00A72A65">
        <w:rPr>
          <w:rFonts w:asciiTheme="majorHAnsi" w:hAnsiTheme="majorHAnsi" w:cstheme="majorHAnsi"/>
          <w:color w:val="000000"/>
          <w:sz w:val="20"/>
          <w:szCs w:val="20"/>
          <w:lang w:val="es-ES"/>
        </w:rPr>
        <w:tab/>
      </w:r>
      <w:r w:rsidR="00A72A65">
        <w:rPr>
          <w:rFonts w:asciiTheme="majorHAnsi" w:hAnsiTheme="majorHAnsi" w:cstheme="majorHAnsi"/>
          <w:color w:val="000000"/>
          <w:sz w:val="20"/>
          <w:szCs w:val="20"/>
          <w:lang w:val="es-ES"/>
        </w:rPr>
        <w:tab/>
        <w:t>2</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p>
    <w:p w14:paraId="18729DAA" w14:textId="7BD974C1"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CAPITULO I INTRODUCCION</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A72A65">
        <w:rPr>
          <w:rFonts w:asciiTheme="majorHAnsi" w:hAnsiTheme="majorHAnsi" w:cstheme="majorHAnsi"/>
          <w:color w:val="000000"/>
          <w:sz w:val="20"/>
          <w:szCs w:val="20"/>
          <w:lang w:val="es-ES"/>
        </w:rPr>
        <w:tab/>
      </w:r>
      <w:r w:rsidR="00A72A65">
        <w:rPr>
          <w:rFonts w:asciiTheme="majorHAnsi" w:hAnsiTheme="majorHAnsi" w:cstheme="majorHAnsi"/>
          <w:color w:val="000000"/>
          <w:sz w:val="20"/>
          <w:szCs w:val="20"/>
          <w:lang w:val="es-ES"/>
        </w:rPr>
        <w:tab/>
      </w:r>
      <w:r w:rsidR="00A72A65">
        <w:rPr>
          <w:rFonts w:asciiTheme="majorHAnsi" w:hAnsiTheme="majorHAnsi" w:cstheme="majorHAnsi"/>
          <w:color w:val="000000"/>
          <w:sz w:val="20"/>
          <w:szCs w:val="20"/>
          <w:lang w:val="es-ES"/>
        </w:rPr>
        <w:tab/>
      </w:r>
      <w:r w:rsidR="00A72A65">
        <w:rPr>
          <w:rFonts w:asciiTheme="majorHAnsi" w:hAnsiTheme="majorHAnsi" w:cstheme="majorHAnsi"/>
          <w:color w:val="000000"/>
          <w:sz w:val="20"/>
          <w:szCs w:val="20"/>
          <w:lang w:val="es-ES"/>
        </w:rPr>
        <w:tab/>
        <w:t>3</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p>
    <w:p w14:paraId="00173EA1" w14:textId="497684D3"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 xml:space="preserve">1.1. </w:t>
      </w:r>
      <w:r w:rsidRPr="00A72A65">
        <w:rPr>
          <w:rFonts w:asciiTheme="majorHAnsi" w:hAnsiTheme="majorHAnsi" w:cstheme="majorHAnsi"/>
          <w:color w:val="000000"/>
          <w:sz w:val="20"/>
          <w:szCs w:val="20"/>
          <w:lang w:val="es-ES"/>
        </w:rPr>
        <w:tab/>
        <w:t>Marco teórico</w:t>
      </w:r>
      <w:r w:rsidRPr="00A72A65">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 xml:space="preserve">                                                                                                              3</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p>
    <w:p w14:paraId="16CA5EFD" w14:textId="77A56F90"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1.2.</w:t>
      </w:r>
      <w:r w:rsidRPr="00A72A65">
        <w:rPr>
          <w:rFonts w:asciiTheme="majorHAnsi" w:hAnsiTheme="majorHAnsi" w:cstheme="majorHAnsi"/>
          <w:color w:val="000000"/>
          <w:sz w:val="20"/>
          <w:szCs w:val="20"/>
          <w:lang w:val="es-ES"/>
        </w:rPr>
        <w:tab/>
        <w:t>Planteamiento del problema</w:t>
      </w:r>
      <w:r w:rsidRPr="00A72A65">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t>4</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t xml:space="preserve">             </w:t>
      </w:r>
    </w:p>
    <w:p w14:paraId="6DD74F23" w14:textId="67B53E84"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1.3.</w:t>
      </w:r>
      <w:r w:rsidRPr="00A72A65">
        <w:rPr>
          <w:rFonts w:asciiTheme="majorHAnsi" w:hAnsiTheme="majorHAnsi" w:cstheme="majorHAnsi"/>
          <w:color w:val="000000"/>
          <w:sz w:val="20"/>
          <w:szCs w:val="20"/>
          <w:lang w:val="es-ES"/>
        </w:rPr>
        <w:tab/>
        <w:t>Justificación del estudio</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t>4</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p>
    <w:p w14:paraId="7803D37E" w14:textId="090F99A0"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CAPITULO II OBJETIVOS DE INVESTIGACION</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t>5</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t xml:space="preserve">         </w:t>
      </w:r>
    </w:p>
    <w:p w14:paraId="45D58AA0" w14:textId="1C374253"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2.1.</w:t>
      </w:r>
      <w:r w:rsidRPr="00A72A65">
        <w:rPr>
          <w:rFonts w:asciiTheme="majorHAnsi" w:hAnsiTheme="majorHAnsi" w:cstheme="majorHAnsi"/>
          <w:color w:val="000000"/>
          <w:sz w:val="20"/>
          <w:szCs w:val="20"/>
          <w:lang w:val="es-ES"/>
        </w:rPr>
        <w:tab/>
        <w:t>Objetivo general</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ab/>
        <w:t>5</w:t>
      </w:r>
    </w:p>
    <w:p w14:paraId="2C33EDB9" w14:textId="2F34F555"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2.2.</w:t>
      </w:r>
      <w:r w:rsidRPr="00A72A65">
        <w:rPr>
          <w:rFonts w:asciiTheme="majorHAnsi" w:hAnsiTheme="majorHAnsi" w:cstheme="majorHAnsi"/>
          <w:color w:val="000000"/>
          <w:sz w:val="20"/>
          <w:szCs w:val="20"/>
          <w:lang w:val="es-ES"/>
        </w:rPr>
        <w:tab/>
        <w:t>Objetivos específicos</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6F51C3">
        <w:rPr>
          <w:rFonts w:asciiTheme="majorHAnsi" w:hAnsiTheme="majorHAnsi" w:cstheme="majorHAnsi"/>
          <w:color w:val="000000"/>
          <w:sz w:val="20"/>
          <w:szCs w:val="20"/>
          <w:lang w:val="es-ES"/>
        </w:rPr>
        <w:t>5</w:t>
      </w:r>
      <w:r w:rsidRPr="00A72A65">
        <w:rPr>
          <w:rFonts w:asciiTheme="majorHAnsi" w:hAnsiTheme="majorHAnsi" w:cstheme="majorHAnsi"/>
          <w:color w:val="000000"/>
          <w:sz w:val="20"/>
          <w:szCs w:val="20"/>
          <w:lang w:val="es-ES"/>
        </w:rPr>
        <w:tab/>
      </w:r>
    </w:p>
    <w:p w14:paraId="5F33A4A0"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5B3F86D5" w14:textId="0CE49760"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CAPÍTULO III   METODOLOGIA</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5</w:t>
      </w:r>
      <w:r w:rsidRPr="00A72A65">
        <w:rPr>
          <w:rFonts w:asciiTheme="majorHAnsi" w:hAnsiTheme="majorHAnsi" w:cstheme="majorHAnsi"/>
          <w:color w:val="000000"/>
          <w:sz w:val="20"/>
          <w:szCs w:val="20"/>
          <w:lang w:val="es-ES"/>
        </w:rPr>
        <w:t xml:space="preserve">             </w:t>
      </w:r>
    </w:p>
    <w:p w14:paraId="2F248B1F" w14:textId="07A33EEB"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3.1</w:t>
      </w:r>
      <w:r w:rsidRPr="00A72A65">
        <w:rPr>
          <w:rFonts w:asciiTheme="majorHAnsi" w:hAnsiTheme="majorHAnsi" w:cstheme="majorHAnsi"/>
          <w:color w:val="000000"/>
          <w:sz w:val="20"/>
          <w:szCs w:val="20"/>
          <w:lang w:val="es-ES"/>
        </w:rPr>
        <w:tab/>
        <w:t xml:space="preserve">Diseño de estudio </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5</w:t>
      </w:r>
      <w:r w:rsidRPr="00A72A65">
        <w:rPr>
          <w:rFonts w:asciiTheme="majorHAnsi" w:hAnsiTheme="majorHAnsi" w:cstheme="majorHAnsi"/>
          <w:color w:val="000000"/>
          <w:sz w:val="20"/>
          <w:szCs w:val="20"/>
          <w:lang w:val="es-ES"/>
        </w:rPr>
        <w:tab/>
      </w:r>
    </w:p>
    <w:p w14:paraId="27F9F3C3" w14:textId="604E2EF7"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 xml:space="preserve">3.2 </w:t>
      </w:r>
      <w:r w:rsidRPr="00A72A65">
        <w:rPr>
          <w:rFonts w:asciiTheme="majorHAnsi" w:hAnsiTheme="majorHAnsi" w:cstheme="majorHAnsi"/>
          <w:color w:val="000000"/>
          <w:sz w:val="20"/>
          <w:szCs w:val="20"/>
          <w:lang w:val="es-ES"/>
        </w:rPr>
        <w:tab/>
        <w:t>Población</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t>5</w:t>
      </w:r>
    </w:p>
    <w:p w14:paraId="3B094EF7" w14:textId="0CE9FCBF"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3.3</w:t>
      </w:r>
      <w:r w:rsidRPr="00A72A65">
        <w:rPr>
          <w:rFonts w:asciiTheme="majorHAnsi" w:hAnsiTheme="majorHAnsi" w:cstheme="majorHAnsi"/>
          <w:color w:val="000000"/>
          <w:sz w:val="20"/>
          <w:szCs w:val="20"/>
          <w:lang w:val="es-ES"/>
        </w:rPr>
        <w:tab/>
        <w:t>Criterios de Selección</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5</w:t>
      </w:r>
    </w:p>
    <w:p w14:paraId="6F272C60" w14:textId="624A882E"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3.4</w:t>
      </w:r>
      <w:r w:rsidRPr="00A72A65">
        <w:rPr>
          <w:rFonts w:asciiTheme="majorHAnsi" w:hAnsiTheme="majorHAnsi" w:cstheme="majorHAnsi"/>
          <w:color w:val="000000"/>
          <w:sz w:val="20"/>
          <w:szCs w:val="20"/>
          <w:lang w:val="es-ES"/>
        </w:rPr>
        <w:tab/>
        <w:t>Descripción de variables</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t>6</w:t>
      </w:r>
    </w:p>
    <w:p w14:paraId="4CDE4620" w14:textId="60574126"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 xml:space="preserve">3.5 </w:t>
      </w:r>
      <w:r w:rsidRPr="00A72A65">
        <w:rPr>
          <w:rFonts w:asciiTheme="majorHAnsi" w:hAnsiTheme="majorHAnsi" w:cstheme="majorHAnsi"/>
          <w:color w:val="000000"/>
          <w:sz w:val="20"/>
          <w:szCs w:val="20"/>
          <w:lang w:val="es-ES"/>
        </w:rPr>
        <w:tab/>
        <w:t>Procedimientos y técnicas de recolección de información</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6</w:t>
      </w:r>
      <w:r w:rsidRPr="00A72A65">
        <w:rPr>
          <w:rFonts w:asciiTheme="majorHAnsi" w:hAnsiTheme="majorHAnsi" w:cstheme="majorHAnsi"/>
          <w:color w:val="000000"/>
          <w:sz w:val="20"/>
          <w:szCs w:val="20"/>
          <w:lang w:val="es-ES"/>
        </w:rPr>
        <w:t xml:space="preserve">          </w:t>
      </w:r>
    </w:p>
    <w:p w14:paraId="06351F28" w14:textId="01B25AE0"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3.6</w:t>
      </w:r>
      <w:r w:rsidRPr="00A72A65">
        <w:rPr>
          <w:rFonts w:asciiTheme="majorHAnsi" w:hAnsiTheme="majorHAnsi" w:cstheme="majorHAnsi"/>
          <w:color w:val="000000"/>
          <w:sz w:val="20"/>
          <w:szCs w:val="20"/>
          <w:lang w:val="es-ES"/>
        </w:rPr>
        <w:tab/>
        <w:t>Plan de análisis</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7</w:t>
      </w:r>
      <w:r w:rsidRPr="00A72A65">
        <w:rPr>
          <w:rFonts w:asciiTheme="majorHAnsi" w:hAnsiTheme="majorHAnsi" w:cstheme="majorHAnsi"/>
          <w:color w:val="000000"/>
          <w:sz w:val="20"/>
          <w:szCs w:val="20"/>
          <w:lang w:val="es-ES"/>
        </w:rPr>
        <w:tab/>
      </w:r>
    </w:p>
    <w:p w14:paraId="3EF8F9BA" w14:textId="00F65638"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 xml:space="preserve">3.7 </w:t>
      </w:r>
      <w:r w:rsidRPr="00A72A65">
        <w:rPr>
          <w:rFonts w:asciiTheme="majorHAnsi" w:hAnsiTheme="majorHAnsi" w:cstheme="majorHAnsi"/>
          <w:color w:val="000000"/>
          <w:sz w:val="20"/>
          <w:szCs w:val="20"/>
          <w:lang w:val="es-ES"/>
        </w:rPr>
        <w:tab/>
        <w:t>Limitaciones y viabilidad</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7</w:t>
      </w:r>
      <w:r w:rsidRPr="00A72A65">
        <w:rPr>
          <w:rFonts w:asciiTheme="majorHAnsi" w:hAnsiTheme="majorHAnsi" w:cstheme="majorHAnsi"/>
          <w:color w:val="000000"/>
          <w:sz w:val="20"/>
          <w:szCs w:val="20"/>
          <w:lang w:val="es-ES"/>
        </w:rPr>
        <w:t xml:space="preserve">            </w:t>
      </w:r>
    </w:p>
    <w:p w14:paraId="70913740" w14:textId="5A8C1D74"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 xml:space="preserve">3.8 </w:t>
      </w:r>
      <w:r w:rsidRPr="00A72A65">
        <w:rPr>
          <w:rFonts w:asciiTheme="majorHAnsi" w:hAnsiTheme="majorHAnsi" w:cstheme="majorHAnsi"/>
          <w:color w:val="000000"/>
          <w:sz w:val="20"/>
          <w:szCs w:val="20"/>
          <w:lang w:val="es-ES"/>
        </w:rPr>
        <w:tab/>
        <w:t>Aspectos éticos</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7</w:t>
      </w:r>
      <w:r w:rsidRPr="00A72A65">
        <w:rPr>
          <w:rFonts w:asciiTheme="majorHAnsi" w:hAnsiTheme="majorHAnsi" w:cstheme="majorHAnsi"/>
          <w:color w:val="000000"/>
          <w:sz w:val="20"/>
          <w:szCs w:val="20"/>
          <w:lang w:val="es-ES"/>
        </w:rPr>
        <w:tab/>
      </w:r>
    </w:p>
    <w:p w14:paraId="0E01748F"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68E15169" w14:textId="1838A5AD"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CAPITULO IV REFERENCIAS</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t>8</w:t>
      </w:r>
    </w:p>
    <w:p w14:paraId="26FD2394"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584AB6F6" w14:textId="7544D2E4"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CAPITULO V CRONOGRAMA</w:t>
      </w:r>
      <w:r w:rsidRPr="00A72A65">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ab/>
        <w:t>9</w:t>
      </w:r>
    </w:p>
    <w:p w14:paraId="4559DF2C" w14:textId="77777777"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t xml:space="preserve">                                      </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p>
    <w:p w14:paraId="23D372BA" w14:textId="6792EFCA"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color w:val="000000"/>
          <w:sz w:val="20"/>
          <w:szCs w:val="20"/>
          <w:lang w:val="es-ES"/>
        </w:rPr>
        <w:t>CAPITULO VI ANEXOS</w:t>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r>
      <w:r w:rsidRPr="00A72A65">
        <w:rPr>
          <w:rFonts w:asciiTheme="majorHAnsi" w:hAnsiTheme="majorHAnsi" w:cstheme="majorHAnsi"/>
          <w:color w:val="000000"/>
          <w:sz w:val="20"/>
          <w:szCs w:val="20"/>
          <w:lang w:val="es-ES"/>
        </w:rPr>
        <w:tab/>
        <w:t xml:space="preserve">         </w:t>
      </w:r>
      <w:r w:rsidRPr="00A72A65">
        <w:rPr>
          <w:rFonts w:asciiTheme="majorHAnsi" w:hAnsiTheme="majorHAnsi" w:cstheme="majorHAnsi"/>
          <w:color w:val="000000"/>
          <w:sz w:val="20"/>
          <w:szCs w:val="20"/>
          <w:lang w:val="es-ES"/>
        </w:rPr>
        <w:tab/>
        <w:t xml:space="preserve">                         </w:t>
      </w:r>
      <w:r w:rsidRPr="00A72A65">
        <w:rPr>
          <w:rFonts w:asciiTheme="majorHAnsi" w:hAnsiTheme="majorHAnsi" w:cstheme="majorHAnsi"/>
          <w:color w:val="000000"/>
          <w:sz w:val="20"/>
          <w:szCs w:val="20"/>
          <w:lang w:val="es-ES"/>
        </w:rPr>
        <w:tab/>
      </w:r>
      <w:r w:rsidR="007E4586">
        <w:rPr>
          <w:rFonts w:asciiTheme="majorHAnsi" w:hAnsiTheme="majorHAnsi" w:cstheme="majorHAnsi"/>
          <w:color w:val="000000"/>
          <w:sz w:val="20"/>
          <w:szCs w:val="20"/>
          <w:lang w:val="es-ES"/>
        </w:rPr>
        <w:t>10</w:t>
      </w:r>
    </w:p>
    <w:p w14:paraId="01E517F3" w14:textId="77777777" w:rsidR="002B7539" w:rsidRPr="00A72A65" w:rsidRDefault="002B7539" w:rsidP="00A72A65">
      <w:pPr>
        <w:spacing w:line="360" w:lineRule="auto"/>
        <w:jc w:val="both"/>
        <w:rPr>
          <w:rFonts w:asciiTheme="majorHAnsi" w:hAnsiTheme="majorHAnsi" w:cstheme="majorHAnsi"/>
          <w:sz w:val="20"/>
          <w:szCs w:val="20"/>
          <w:lang w:val="es-ES"/>
        </w:rPr>
      </w:pPr>
    </w:p>
    <w:p w14:paraId="4CD4789A" w14:textId="77777777" w:rsidR="002B7539" w:rsidRPr="00A72A65" w:rsidRDefault="002B7539" w:rsidP="00A72A65">
      <w:pPr>
        <w:spacing w:line="360" w:lineRule="auto"/>
        <w:jc w:val="both"/>
        <w:rPr>
          <w:rFonts w:asciiTheme="majorHAnsi" w:hAnsiTheme="majorHAnsi" w:cstheme="majorHAnsi"/>
          <w:sz w:val="20"/>
          <w:szCs w:val="20"/>
          <w:lang w:val="es-ES"/>
        </w:rPr>
      </w:pPr>
    </w:p>
    <w:p w14:paraId="0E23960D" w14:textId="77777777" w:rsidR="002B7539" w:rsidRPr="00A72A65" w:rsidRDefault="002B7539" w:rsidP="00A72A65">
      <w:pPr>
        <w:spacing w:line="360" w:lineRule="auto"/>
        <w:jc w:val="both"/>
        <w:rPr>
          <w:rFonts w:asciiTheme="majorHAnsi" w:hAnsiTheme="majorHAnsi" w:cstheme="majorHAnsi"/>
          <w:sz w:val="20"/>
          <w:szCs w:val="20"/>
          <w:lang w:val="es-ES"/>
        </w:rPr>
      </w:pPr>
    </w:p>
    <w:p w14:paraId="06401CA2" w14:textId="77777777" w:rsidR="002B7539" w:rsidRPr="00A72A65" w:rsidRDefault="002B7539" w:rsidP="00A72A65">
      <w:pPr>
        <w:spacing w:line="360" w:lineRule="auto"/>
        <w:jc w:val="both"/>
        <w:rPr>
          <w:rFonts w:asciiTheme="majorHAnsi" w:hAnsiTheme="majorHAnsi" w:cstheme="majorHAnsi"/>
          <w:sz w:val="20"/>
          <w:szCs w:val="20"/>
          <w:lang w:val="es-ES"/>
        </w:rPr>
      </w:pPr>
    </w:p>
    <w:p w14:paraId="7E6FDDEC" w14:textId="77777777" w:rsidR="00FF7AD2" w:rsidRDefault="00FF7AD2" w:rsidP="00A72A65">
      <w:pPr>
        <w:spacing w:line="360" w:lineRule="auto"/>
        <w:jc w:val="both"/>
        <w:rPr>
          <w:rFonts w:asciiTheme="majorHAnsi" w:hAnsiTheme="majorHAnsi" w:cstheme="majorHAnsi"/>
          <w:b/>
          <w:color w:val="000000"/>
          <w:sz w:val="20"/>
          <w:szCs w:val="20"/>
          <w:lang w:val="es-ES"/>
        </w:rPr>
      </w:pPr>
    </w:p>
    <w:p w14:paraId="47E94C4D" w14:textId="77777777" w:rsidR="002B7539" w:rsidRPr="00A72A65" w:rsidRDefault="00A04F37" w:rsidP="00A72A65">
      <w:pPr>
        <w:spacing w:line="360" w:lineRule="auto"/>
        <w:jc w:val="both"/>
        <w:rPr>
          <w:rFonts w:asciiTheme="majorHAnsi" w:hAnsiTheme="majorHAnsi" w:cstheme="majorHAnsi"/>
          <w:b/>
          <w:color w:val="000000"/>
          <w:sz w:val="20"/>
          <w:szCs w:val="20"/>
          <w:lang w:val="es-ES"/>
        </w:rPr>
      </w:pPr>
      <w:r w:rsidRPr="00A72A65">
        <w:rPr>
          <w:rFonts w:asciiTheme="majorHAnsi" w:hAnsiTheme="majorHAnsi" w:cstheme="majorHAnsi"/>
          <w:b/>
          <w:color w:val="000000"/>
          <w:sz w:val="20"/>
          <w:szCs w:val="20"/>
          <w:lang w:val="es-ES"/>
        </w:rPr>
        <w:lastRenderedPageBreak/>
        <w:t>CAPITULO I:  INTRODUCCION</w:t>
      </w:r>
    </w:p>
    <w:p w14:paraId="5C20F4F2" w14:textId="77777777" w:rsidR="002B7539" w:rsidRPr="00A72A65" w:rsidRDefault="002B7539" w:rsidP="00A72A65">
      <w:pPr>
        <w:spacing w:line="360" w:lineRule="auto"/>
        <w:jc w:val="both"/>
        <w:rPr>
          <w:rFonts w:asciiTheme="majorHAnsi" w:hAnsiTheme="majorHAnsi" w:cstheme="majorHAnsi"/>
          <w:b/>
          <w:color w:val="000000"/>
          <w:sz w:val="20"/>
          <w:szCs w:val="20"/>
          <w:lang w:val="es-ES"/>
        </w:rPr>
      </w:pPr>
    </w:p>
    <w:p w14:paraId="7761D2FC" w14:textId="77777777" w:rsidR="002B7539" w:rsidRPr="00A72A65" w:rsidRDefault="00A04F37" w:rsidP="00A72A65">
      <w:pPr>
        <w:pStyle w:val="Prrafodelista"/>
        <w:numPr>
          <w:ilvl w:val="1"/>
          <w:numId w:val="5"/>
        </w:numPr>
        <w:spacing w:line="360" w:lineRule="auto"/>
        <w:jc w:val="both"/>
        <w:rPr>
          <w:rFonts w:asciiTheme="majorHAnsi" w:hAnsiTheme="majorHAnsi" w:cstheme="majorHAnsi"/>
          <w:b/>
          <w:color w:val="000000"/>
          <w:sz w:val="20"/>
          <w:szCs w:val="20"/>
          <w:lang w:val="es-ES"/>
        </w:rPr>
      </w:pPr>
      <w:r w:rsidRPr="00A72A65">
        <w:rPr>
          <w:rFonts w:asciiTheme="majorHAnsi" w:hAnsiTheme="majorHAnsi" w:cstheme="majorHAnsi"/>
          <w:b/>
          <w:color w:val="000000"/>
          <w:sz w:val="20"/>
          <w:szCs w:val="20"/>
          <w:lang w:val="es-ES"/>
        </w:rPr>
        <w:t>Marco teórico</w:t>
      </w:r>
    </w:p>
    <w:p w14:paraId="7EE7FD09" w14:textId="295D9A1C" w:rsidR="002B7539" w:rsidRPr="00A72A65" w:rsidRDefault="00A04F37" w:rsidP="00A72A65">
      <w:pPr>
        <w:spacing w:line="360" w:lineRule="auto"/>
        <w:ind w:firstLine="708"/>
        <w:jc w:val="both"/>
        <w:rPr>
          <w:rFonts w:asciiTheme="majorHAnsi" w:hAnsiTheme="majorHAnsi" w:cstheme="majorHAnsi"/>
        </w:rPr>
      </w:pPr>
      <w:r w:rsidRPr="00A72A65">
        <w:rPr>
          <w:rFonts w:asciiTheme="majorHAnsi" w:hAnsiTheme="majorHAnsi" w:cstheme="majorHAnsi"/>
          <w:sz w:val="20"/>
          <w:szCs w:val="20"/>
          <w:lang w:val="es-ES"/>
        </w:rPr>
        <w:t>La Leucemia Linfoide Crónica/Linfoma Linfocitico de Células pequeñas (LLC) integra el grupo de los síndromes linfoproliferativos crónicos. Es una enfermedad hasta el momento considerada incurable, caracterizada por una acumulación de linfocitos B maduros a nivel de sangre periférica, medula ósea y ganglios linfáticos. La mediana de edad al diagnóstico es de 70 años y es la leucemia crónica más frecuente en adultos caucásicos. Tiene una incidencia que difiere según la región, siendo muy baja en países de Asia: 0,48 por cada 100.000 habitantes por año en Japón y es de 5 casos por cada 100.000 habitantes por año en USA</w:t>
      </w:r>
      <w:r w:rsidR="00F158F9" w:rsidRPr="00A72A65">
        <w:rPr>
          <w:rFonts w:asciiTheme="majorHAnsi" w:hAnsiTheme="majorHAnsi" w:cstheme="majorHAnsi"/>
          <w:sz w:val="20"/>
          <w:szCs w:val="20"/>
          <w:lang w:val="es-ES"/>
        </w:rPr>
        <w:t>.</w:t>
      </w:r>
      <w:r w:rsidR="0041161F" w:rsidRPr="00A72A65">
        <w:rPr>
          <w:rFonts w:asciiTheme="majorHAnsi" w:hAnsiTheme="majorHAnsi" w:cstheme="majorHAnsi"/>
          <w:sz w:val="20"/>
          <w:szCs w:val="20"/>
          <w:lang w:val="es-ES"/>
        </w:rPr>
        <w:fldChar w:fldCharType="begin" w:fldLock="1"/>
      </w:r>
      <w:r w:rsidR="00F158F9" w:rsidRPr="00A72A65">
        <w:rPr>
          <w:rFonts w:asciiTheme="majorHAnsi" w:hAnsiTheme="majorHAnsi" w:cstheme="majorHAnsi"/>
          <w:sz w:val="20"/>
          <w:szCs w:val="20"/>
          <w:lang w:val="es-ES"/>
        </w:rPr>
        <w:instrText>ADDIN CSL_CITATION {"citationItems":[{"id":"ITEM-1","itemData":{"URL":"https://seer.cancer.gov/statfacts/html/clyl.html","accessed":{"date-parts":[["2021","1","29"]]},"author":[{"dropping-particle":"","family":"NIH","given":"","non-dropping-particle":"","parse-names":false,"suffix":""}],"id":"ITEM-1","issued":{"date-parts":[["0"]]},"title":"Cancer Stat Facts: Leukemia — Chronic Lymphocytic Leukemia (CLL)","type":"webpage"},"uris":["http://www.mendeley.com/documents/?uuid=6121bf50-ea9a-46af-acc8-3656fb4462a9"]}],"mendeley":{"formattedCitation":"[1]","plainTextFormattedCitation":"[1]","previouslyFormattedCitation":"[1]"},"properties":{"noteIndex":0},"schema":"https://github.com/citation-style-language/schema/raw/master/csl-citation.json"}</w:instrText>
      </w:r>
      <w:r w:rsidR="0041161F" w:rsidRPr="00A72A65">
        <w:rPr>
          <w:rFonts w:asciiTheme="majorHAnsi" w:hAnsiTheme="majorHAnsi" w:cstheme="majorHAnsi"/>
          <w:sz w:val="20"/>
          <w:szCs w:val="20"/>
          <w:lang w:val="es-ES"/>
        </w:rPr>
        <w:fldChar w:fldCharType="separate"/>
      </w:r>
      <w:r w:rsidR="0041161F" w:rsidRPr="00A72A65">
        <w:rPr>
          <w:rFonts w:asciiTheme="majorHAnsi" w:hAnsiTheme="majorHAnsi" w:cstheme="majorHAnsi"/>
          <w:noProof/>
          <w:sz w:val="20"/>
          <w:szCs w:val="20"/>
          <w:lang w:val="es-ES"/>
        </w:rPr>
        <w:t>[1]</w:t>
      </w:r>
      <w:r w:rsidR="0041161F" w:rsidRPr="00A72A65">
        <w:rPr>
          <w:rFonts w:asciiTheme="majorHAnsi" w:hAnsiTheme="majorHAnsi" w:cstheme="majorHAnsi"/>
          <w:sz w:val="20"/>
          <w:szCs w:val="20"/>
          <w:lang w:val="es-ES"/>
        </w:rPr>
        <w:fldChar w:fldCharType="end"/>
      </w:r>
      <w:r w:rsidRPr="00A72A65">
        <w:rPr>
          <w:rFonts w:asciiTheme="majorHAnsi" w:hAnsiTheme="majorHAnsi" w:cstheme="majorHAnsi"/>
          <w:sz w:val="20"/>
          <w:szCs w:val="20"/>
          <w:lang w:val="es-ES"/>
        </w:rPr>
        <w:t xml:space="preserve"> La incidencia reportada en Latinoamérica es variable. En Uruguay la incidencia es de 4,3/100.000 habitantes por año, similar a la incidencia en Europa y Estados Unidos. En países como México, Perú o Chile la incidencia reportada es menor, lo que plantea la posibilidad de la contribución de la etnia en la incidencia de esta patología.</w:t>
      </w:r>
      <w:r w:rsidR="00F158F9" w:rsidRPr="00A72A65">
        <w:rPr>
          <w:rFonts w:asciiTheme="majorHAnsi" w:hAnsiTheme="majorHAnsi" w:cstheme="majorHAnsi"/>
          <w:sz w:val="20"/>
          <w:szCs w:val="20"/>
          <w:lang w:val="es-ES"/>
        </w:rPr>
        <w:fldChar w:fldCharType="begin" w:fldLock="1"/>
      </w:r>
      <w:r w:rsidR="00F158F9" w:rsidRPr="00A72A65">
        <w:rPr>
          <w:rFonts w:asciiTheme="majorHAnsi" w:hAnsiTheme="majorHAnsi" w:cstheme="majorHAnsi"/>
          <w:sz w:val="20"/>
          <w:szCs w:val="20"/>
          <w:lang w:val="es-ES"/>
        </w:rPr>
        <w:instrText>ADDIN CSL_CITATION {"citationItems":[{"id":"ITEM-1","itemData":{"URL":"http://www.shu.com.uy/","author":[{"dropping-particle":"","family":"Sociedad de Hematología (SHU)","given":"","non-dropping-particle":"","parse-names":false,"suffix":""}],"id":"ITEM-1","issued":{"date-parts":[["2018"]]},"title":"Registro de Leucemias","type":"webpage"},"uris":["http://www.mendeley.com/documents/?uuid=31d61b66-0f5f-4fde-b975-adffbde931fa"]}],"mendeley":{"formattedCitation":"[2]","plainTextFormattedCitation":"[2]","previouslyFormattedCitation":"[2]"},"properties":{"noteIndex":0},"schema":"https://github.com/citation-style-language/schema/raw/master/csl-citation.json"}</w:instrText>
      </w:r>
      <w:r w:rsidR="00F158F9" w:rsidRPr="00A72A65">
        <w:rPr>
          <w:rFonts w:asciiTheme="majorHAnsi" w:hAnsiTheme="majorHAnsi" w:cstheme="majorHAnsi"/>
          <w:sz w:val="20"/>
          <w:szCs w:val="20"/>
          <w:lang w:val="es-ES"/>
        </w:rPr>
        <w:fldChar w:fldCharType="separate"/>
      </w:r>
      <w:r w:rsidR="00F158F9" w:rsidRPr="00A72A65">
        <w:rPr>
          <w:rFonts w:asciiTheme="majorHAnsi" w:hAnsiTheme="majorHAnsi" w:cstheme="majorHAnsi"/>
          <w:noProof/>
          <w:sz w:val="20"/>
          <w:szCs w:val="20"/>
          <w:lang w:val="es-ES"/>
        </w:rPr>
        <w:t>[2]</w:t>
      </w:r>
      <w:r w:rsidR="00F158F9" w:rsidRPr="00A72A65">
        <w:rPr>
          <w:rFonts w:asciiTheme="majorHAnsi" w:hAnsiTheme="majorHAnsi" w:cstheme="majorHAnsi"/>
          <w:sz w:val="20"/>
          <w:szCs w:val="20"/>
          <w:lang w:val="es-ES"/>
        </w:rPr>
        <w:fldChar w:fldCharType="end"/>
      </w:r>
      <w:r w:rsidR="00251196" w:rsidRPr="00A72A65">
        <w:rPr>
          <w:rFonts w:asciiTheme="majorHAnsi" w:hAnsiTheme="majorHAnsi" w:cstheme="majorHAnsi"/>
          <w:sz w:val="20"/>
          <w:szCs w:val="20"/>
          <w:lang w:val="es-ES"/>
        </w:rPr>
        <w:fldChar w:fldCharType="begin" w:fldLock="1"/>
      </w:r>
      <w:r w:rsidR="006F51C3">
        <w:rPr>
          <w:rFonts w:asciiTheme="majorHAnsi" w:hAnsiTheme="majorHAnsi" w:cstheme="majorHAnsi"/>
          <w:sz w:val="20"/>
          <w:szCs w:val="20"/>
          <w:lang w:val="es-ES"/>
        </w:rPr>
        <w:instrText>ADDIN CSL_CITATION {"citationItems":[{"id":"ITEM-1","itemData":{"DOI":"10.1200/JGO.19.00025","ISSN":"2378-9506","author":[{"dropping-particle":"","family":"Tietsche de Moraes Hungria","given":"Vania","non-dropping-particle":"","parse-names":false,"suffix":""},{"dropping-particle":"","family":"Chiattone","given":"Carlos","non-dropping-particle":"","parse-names":false,"suffix":""},{"dropping-particle":"","family":"Pavlovsky","given":"Miguel","non-dropping-particle":"","parse-names":false,"suffix":""},{"dropping-particle":"","family":"Abenoza","given":"Lina M.","non-dropping-particle":"","parse-names":false,"suffix":""},{"dropping-particle":"","family":"Agreda","given":"Gladys P.","non-dropping-particle":"","parse-names":false,"suffix":""},{"dropping-particle":"","family":"Armenta","given":"Jorge","non-dropping-particle":"","parse-names":false,"suffix":""},{"dropping-particle":"","family":"Arrais","given":"Celso","non-dropping-particle":"","parse-names":false,"suffix":""},{"dropping-particle":"","family":"Avendaño Flores","given":"Oscar","non-dropping-particle":"","parse-names":false,"suffix":""},{"dropping-particle":"","family":"Barroso","given":"Fernando","non-dropping-particle":"","parse-names":false,"suffix":""},{"dropping-particle":"","family":"Basquiera","given":"Ana L.","non-dropping-particle":"","parse-names":false,"suffix":""},{"dropping-particle":"","family":"Cao","given":"Carmen","non-dropping-particle":"","parse-names":false,"suffix":""},{"dropping-particle":"","family":"Cugliari","given":"Maria S.","non-dropping-particle":"","parse-names":false,"suffix":""},{"dropping-particle":"","family":"Enrico","given":"Alicia","non-dropping-particle":"","parse-names":false,"suffix":""},{"dropping-particle":"","family":"Foggliatto","given":"Laura M.","non-dropping-particle":"","parse-names":false,"suffix":""},{"dropping-particle":"","family":"Galvez","given":"Kenny M.","non-dropping-particle":"","parse-names":false,"suffix":""},{"dropping-particle":"","family":"Gomez","given":"David","non-dropping-particle":"","parse-names":false,"suffix":""},{"dropping-particle":"","family":"Gomez","given":"Alvaro","non-dropping-particle":"","parse-names":false,"suffix":""},{"dropping-particle":"","family":"Iracema","given":"Daniel","non-dropping-particle":"de","parse-names":false,"suffix":""},{"dropping-particle":"","family":"Farias","given":"Danielle","non-dropping-particle":"","parse-names":false,"suffix":""},{"dropping-particle":"","family":"Lopez","given":"Lineth","non-dropping-particle":"","parse-names":false,"suffix":""},{"dropping-particle":"","family":"Mantilla","given":"William Armando","non-dropping-particle":"","parse-names":false,"suffix":""},{"dropping-particle":"","family":"Martínez","given":"Deborah","non-dropping-particle":"","parse-names":false,"suffix":""},{"dropping-particle":"","family":"Mela","given":"Maria Jose","non-dropping-particle":"","parse-names":false,"suffix":""},{"dropping-particle":"","family":"Miguel","given":"Carlos E.","non-dropping-particle":"","parse-names":false,"suffix":""},{"dropping-particle":"","family":"Ovilla","given":"Roberto","non-dropping-particle":"","parse-names":false,"suffix":""},{"dropping-particle":"","family":"Palmer","given":"Luis","non-dropping-particle":"","parse-names":false,"suffix":""},{"dropping-particle":"","family":"Pavlovsky","given":"Carolina","non-dropping-particle":"","parse-names":false,"suffix":""},{"dropping-particle":"","family":"Ramos","given":"Christian","non-dropping-particle":"","parse-names":false,"suffix":""},{"dropping-particle":"","family":"Remaggi","given":"Guillermina","non-dropping-particle":"","parse-names":false,"suffix":""},{"dropping-particle":"","family":"Santucci","given":"Rodrigo","non-dropping-particle":"","parse-names":false,"suffix":""},{"dropping-particle":"","family":"Schusterschitz","given":"Sergio","non-dropping-particle":"","parse-names":false,"suffix":""},{"dropping-particle":"","family":"Sossa","given":"Claudia Lucia","non-dropping-particle":"","parse-names":false,"suffix":""},{"dropping-particle":"","family":"Tuna-Aguilar","given":"Elena","non-dropping-particle":"","parse-names":false,"suffix":""},{"dropping-particle":"","family":"Vela","given":"Jorge","non-dropping-particle":"","parse-names":false,"suffix":""},{"dropping-particle":"","family":"Santos","given":"Telma","non-dropping-particle":"","parse-names":false,"suffix":""},{"dropping-particle":"","family":"la Mora","given":"Odin","non-dropping-particle":"de","parse-names":false,"suffix":""},{"dropping-particle":"","family":"Machnicki","given":"Gerardo","non-dropping-particle":"","parse-names":false,"suffix":""},{"dropping-particle":"","family":"Fernandez","given":"Mariana","non-dropping-particle":"","parse-names":false,"suffix":""},{"dropping-particle":"","family":"Barreyro","given":"Paula","non-dropping-particle":"","parse-names":false,"suffix":""}],"container-title":"Journal of Global Oncology","id":"ITEM-1","issue":"5","issued":{"date-parts":[["2019","12"]]},"page":"1-19","title":"Epidemiology of Hematologic Malignancies in Real-World Settings: Findings From the Hemato-Oncology Latin America Observational Registry Study","type":"article-journal"},"uris":["http://www.mendeley.com/documents/?uuid=87dbb9bf-c590-43b3-99e4-fd3519e10594"]}],"mendeley":{"formattedCitation":"[3]","plainTextFormattedCitation":"[3]","previouslyFormattedCitation":"[3]"},"properties":{"noteIndex":0},"schema":"https://github.com/citation-style-language/schema/raw/master/csl-citation.json"}</w:instrText>
      </w:r>
      <w:r w:rsidR="00251196" w:rsidRPr="00A72A65">
        <w:rPr>
          <w:rFonts w:asciiTheme="majorHAnsi" w:hAnsiTheme="majorHAnsi" w:cstheme="majorHAnsi"/>
          <w:sz w:val="20"/>
          <w:szCs w:val="20"/>
          <w:lang w:val="es-ES"/>
        </w:rPr>
        <w:fldChar w:fldCharType="separate"/>
      </w:r>
      <w:r w:rsidR="00251196" w:rsidRPr="00A72A65">
        <w:rPr>
          <w:rFonts w:asciiTheme="majorHAnsi" w:hAnsiTheme="majorHAnsi" w:cstheme="majorHAnsi"/>
          <w:noProof/>
          <w:sz w:val="20"/>
          <w:szCs w:val="20"/>
          <w:lang w:val="es-ES"/>
        </w:rPr>
        <w:t>[3]</w:t>
      </w:r>
      <w:r w:rsidR="00251196" w:rsidRPr="00A72A65">
        <w:rPr>
          <w:rFonts w:asciiTheme="majorHAnsi" w:hAnsiTheme="majorHAnsi" w:cstheme="majorHAnsi"/>
          <w:sz w:val="20"/>
          <w:szCs w:val="20"/>
          <w:lang w:val="es-ES"/>
        </w:rPr>
        <w:fldChar w:fldCharType="end"/>
      </w:r>
    </w:p>
    <w:p w14:paraId="113C8302" w14:textId="6F7888FF" w:rsidR="002B7539" w:rsidRPr="00A72A65" w:rsidRDefault="00A04F37" w:rsidP="00A72A65">
      <w:pPr>
        <w:spacing w:line="360" w:lineRule="auto"/>
        <w:ind w:firstLine="708"/>
        <w:jc w:val="both"/>
        <w:rPr>
          <w:rFonts w:asciiTheme="majorHAnsi" w:eastAsia="Times New Roman" w:hAnsiTheme="majorHAnsi" w:cstheme="majorHAnsi"/>
          <w:sz w:val="20"/>
          <w:szCs w:val="20"/>
          <w:lang w:val="es-ES"/>
        </w:rPr>
      </w:pPr>
      <w:r w:rsidRPr="00A72A65">
        <w:rPr>
          <w:rFonts w:asciiTheme="majorHAnsi" w:hAnsiTheme="majorHAnsi" w:cstheme="majorHAnsi"/>
          <w:sz w:val="20"/>
          <w:szCs w:val="20"/>
          <w:lang w:val="es-ES"/>
        </w:rPr>
        <w:t>El diagnóstico de LLC requiere la presencia de ≥ 5 x 10</w:t>
      </w:r>
      <w:r w:rsidRPr="00A72A65">
        <w:rPr>
          <w:rFonts w:asciiTheme="majorHAnsi" w:hAnsiTheme="majorHAnsi" w:cstheme="majorHAnsi"/>
          <w:sz w:val="20"/>
          <w:szCs w:val="20"/>
          <w:vertAlign w:val="superscript"/>
          <w:lang w:val="es-ES"/>
        </w:rPr>
        <w:t>9</w:t>
      </w:r>
      <w:r w:rsidRPr="00A72A65">
        <w:rPr>
          <w:rFonts w:asciiTheme="majorHAnsi" w:hAnsiTheme="majorHAnsi" w:cstheme="majorHAnsi"/>
          <w:sz w:val="20"/>
          <w:szCs w:val="20"/>
          <w:lang w:val="es-ES"/>
        </w:rPr>
        <w:t xml:space="preserve"> / L de linfocitos B en la sangre periférica, persistente durante al menos 3 meses. La clonalidad de estos linfocitos B debe confirmarse por la demostración de restricción de las cadenas ligeras de inmunoglobulina mediante citometría de flujo. </w:t>
      </w:r>
      <w:r w:rsidRPr="00A72A65">
        <w:rPr>
          <w:rFonts w:asciiTheme="majorHAnsi" w:eastAsia="Times New Roman" w:hAnsiTheme="majorHAnsi" w:cstheme="majorHAnsi"/>
          <w:sz w:val="20"/>
          <w:szCs w:val="20"/>
          <w:lang w:val="es-ES"/>
        </w:rPr>
        <w:t xml:space="preserve">Las células de LLC coexpresan el antígeno de superficie CD5 junto con los antígenos de células B CD19, CD20 y CD23. </w:t>
      </w:r>
      <w:r w:rsidRPr="00A72A65">
        <w:rPr>
          <w:rStyle w:val="jlqj4b"/>
          <w:rFonts w:asciiTheme="majorHAnsi" w:eastAsia="Times New Roman" w:hAnsiTheme="majorHAnsi" w:cstheme="majorHAnsi"/>
          <w:sz w:val="20"/>
          <w:szCs w:val="20"/>
          <w:lang w:val="es-ES"/>
        </w:rPr>
        <w:t>La expresión de CD20 y CD79b son característicamente débiles en comparación con lo que se observa en las células B normales.</w:t>
      </w:r>
      <w:r w:rsidR="00F158F9" w:rsidRPr="00A72A65">
        <w:rPr>
          <w:rStyle w:val="jlqj4b"/>
          <w:rFonts w:asciiTheme="majorHAnsi" w:eastAsia="Times New Roman" w:hAnsiTheme="majorHAnsi" w:cstheme="majorHAnsi"/>
          <w:sz w:val="20"/>
          <w:szCs w:val="20"/>
          <w:lang w:val="es-ES"/>
        </w:rPr>
        <w:fldChar w:fldCharType="begin" w:fldLock="1"/>
      </w:r>
      <w:r w:rsidR="006F51C3">
        <w:rPr>
          <w:rStyle w:val="jlqj4b"/>
          <w:rFonts w:asciiTheme="majorHAnsi" w:eastAsia="Times New Roman" w:hAnsiTheme="majorHAnsi" w:cstheme="majorHAnsi"/>
          <w:sz w:val="20"/>
          <w:szCs w:val="20"/>
          <w:lang w:val="es-ES"/>
        </w:rPr>
        <w:instrText>ADDIN CSL_CITATION {"citationItems":[{"id":"ITEM-1","itemData":{"DOI":"10.1182/blood-2017-09-806398","ISSN":"1528-0020","PMID":"29540348","abstract":"The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J","non-dropping-particle":"","parse-names":false,"suffix":""}],"container-title":"Blood","id":"ITEM-1","issue":"25","issued":{"date-parts":[["2018"]]},"page":"2745-2760","title":"iwCLL guidelines for diagnosis, indications for treatment, response assessment, and supportive management of CLL.","type":"article-journal","volume":"131"},"uris":["http://www.mendeley.com/documents/?uuid=dd594b4e-9d18-4275-99df-1aefd3ebdc97"]}],"mendeley":{"formattedCitation":"[4]","plainTextFormattedCitation":"[4]","previouslyFormattedCitation":"[4]"},"properties":{"noteIndex":0},"schema":"https://github.com/citation-style-language/schema/raw/master/csl-citation.json"}</w:instrText>
      </w:r>
      <w:r w:rsidR="00F158F9" w:rsidRPr="00A72A65">
        <w:rPr>
          <w:rStyle w:val="jlqj4b"/>
          <w:rFonts w:asciiTheme="majorHAnsi" w:eastAsia="Times New Roman" w:hAnsiTheme="majorHAnsi" w:cstheme="majorHAnsi"/>
          <w:sz w:val="20"/>
          <w:szCs w:val="20"/>
          <w:lang w:val="es-ES"/>
        </w:rPr>
        <w:fldChar w:fldCharType="separate"/>
      </w:r>
      <w:r w:rsidR="00251196" w:rsidRPr="00A72A65">
        <w:rPr>
          <w:rStyle w:val="jlqj4b"/>
          <w:rFonts w:asciiTheme="majorHAnsi" w:eastAsia="Times New Roman" w:hAnsiTheme="majorHAnsi" w:cstheme="majorHAnsi"/>
          <w:noProof/>
          <w:sz w:val="20"/>
          <w:szCs w:val="20"/>
          <w:lang w:val="es-ES"/>
        </w:rPr>
        <w:t>[4]</w:t>
      </w:r>
      <w:r w:rsidR="00F158F9" w:rsidRPr="00A72A65">
        <w:rPr>
          <w:rStyle w:val="jlqj4b"/>
          <w:rFonts w:asciiTheme="majorHAnsi" w:eastAsia="Times New Roman" w:hAnsiTheme="majorHAnsi" w:cstheme="majorHAnsi"/>
          <w:sz w:val="20"/>
          <w:szCs w:val="20"/>
          <w:lang w:val="es-ES"/>
        </w:rPr>
        <w:fldChar w:fldCharType="end"/>
      </w:r>
    </w:p>
    <w:p w14:paraId="597A970D" w14:textId="2D14265A" w:rsidR="002B7539" w:rsidRPr="00A72A65" w:rsidRDefault="00A04F37" w:rsidP="00A72A65">
      <w:pPr>
        <w:spacing w:line="360" w:lineRule="auto"/>
        <w:ind w:firstLine="708"/>
        <w:jc w:val="both"/>
        <w:rPr>
          <w:rFonts w:asciiTheme="majorHAnsi" w:hAnsiTheme="majorHAnsi" w:cstheme="majorHAnsi"/>
        </w:rPr>
      </w:pPr>
      <w:r w:rsidRPr="00A72A65">
        <w:rPr>
          <w:rFonts w:asciiTheme="majorHAnsi" w:hAnsiTheme="majorHAnsi" w:cstheme="majorHAnsi"/>
          <w:sz w:val="20"/>
          <w:szCs w:val="20"/>
          <w:lang w:val="es-ES"/>
        </w:rPr>
        <w:t xml:space="preserve">El factor genético juega un rol en el desarrollo de LLC, existiendo un riesgo 6 a 9 veces mayor de incidencia en familiares de primer grado de pacientes con LLC. Además, aproximadamente el 80% de los pacientes con LLC tienen al menos una o más alteraciones cromosómicas comunes. Las alteraciones más comunes son del13q (55-60 %), del 11q (6-27 %), del 17p (3,5-10 %) y trisomía 12 (10-16 %). Es importante señalar que las anomalías cromosómicas suelen variar con el tiempo, siendo característica la adquisición de nuevas alteraciones citogenéticas en el curso evolutivo de a enfermedad. Esta </w:t>
      </w:r>
      <w:r w:rsidR="00A72A65" w:rsidRPr="00A72A65">
        <w:rPr>
          <w:rFonts w:asciiTheme="majorHAnsi" w:hAnsiTheme="majorHAnsi" w:cstheme="majorHAnsi"/>
          <w:sz w:val="20"/>
          <w:szCs w:val="20"/>
          <w:lang w:val="es-ES"/>
        </w:rPr>
        <w:t>variabilidad</w:t>
      </w:r>
      <w:r w:rsidRPr="00A72A65">
        <w:rPr>
          <w:rFonts w:asciiTheme="majorHAnsi" w:hAnsiTheme="majorHAnsi" w:cstheme="majorHAnsi"/>
          <w:sz w:val="20"/>
          <w:szCs w:val="20"/>
          <w:lang w:val="es-ES"/>
        </w:rPr>
        <w:t xml:space="preserve"> puede ser el resultado de la terapia, la cual puede seleccionar células con alteraciones que determinan resistencia a la quimioterapia, o por la propia evolutividad de la enfermedad</w:t>
      </w:r>
      <w:r w:rsidR="00F158F9" w:rsidRPr="00A72A65">
        <w:rPr>
          <w:rFonts w:asciiTheme="majorHAnsi" w:hAnsiTheme="majorHAnsi" w:cstheme="majorHAnsi"/>
          <w:sz w:val="20"/>
          <w:szCs w:val="20"/>
          <w:lang w:val="es-ES"/>
        </w:rPr>
        <w:t>.</w:t>
      </w:r>
      <w:r w:rsidR="00F158F9" w:rsidRPr="00A72A65">
        <w:rPr>
          <w:rFonts w:asciiTheme="majorHAnsi" w:hAnsiTheme="majorHAnsi" w:cstheme="majorHAnsi"/>
          <w:sz w:val="20"/>
          <w:szCs w:val="20"/>
          <w:lang w:val="es-ES"/>
        </w:rPr>
        <w:fldChar w:fldCharType="begin" w:fldLock="1"/>
      </w:r>
      <w:r w:rsidR="006F51C3">
        <w:rPr>
          <w:rFonts w:asciiTheme="majorHAnsi" w:hAnsiTheme="majorHAnsi" w:cstheme="majorHAnsi"/>
          <w:sz w:val="20"/>
          <w:szCs w:val="20"/>
          <w:lang w:val="es-ES"/>
        </w:rPr>
        <w:instrText>ADDIN CSL_CITATION {"citationItems":[{"id":"ITEM-1","itemData":{"author":[{"dropping-particle":"","family":"Lymphoma Coalition","given":"","non-dropping-particle":"","parse-names":false,"suffix":""}],"id":"ITEM-1","issued":{"date-parts":[["2017"]]},"number-of-pages":"1-28","title":"2017 European Subtype Report. Chronic Lymphocytyc Leukaemia.","type":"report"},"uris":["http://www.mendeley.com/documents/?uuid=94a7df37-fd1c-4f58-9139-c7337c5623be"]}],"mendeley":{"formattedCitation":"[5]","plainTextFormattedCitation":"[5]","previouslyFormattedCitation":"[5]"},"properties":{"noteIndex":0},"schema":"https://github.com/citation-style-language/schema/raw/master/csl-citation.json"}</w:instrText>
      </w:r>
      <w:r w:rsidR="00F158F9" w:rsidRPr="00A72A65">
        <w:rPr>
          <w:rFonts w:asciiTheme="majorHAnsi" w:hAnsiTheme="majorHAnsi" w:cstheme="majorHAnsi"/>
          <w:sz w:val="20"/>
          <w:szCs w:val="20"/>
          <w:lang w:val="es-ES"/>
        </w:rPr>
        <w:fldChar w:fldCharType="separate"/>
      </w:r>
      <w:r w:rsidR="00251196" w:rsidRPr="00A72A65">
        <w:rPr>
          <w:rFonts w:asciiTheme="majorHAnsi" w:hAnsiTheme="majorHAnsi" w:cstheme="majorHAnsi"/>
          <w:noProof/>
          <w:sz w:val="20"/>
          <w:szCs w:val="20"/>
          <w:lang w:val="es-ES"/>
        </w:rPr>
        <w:t>[5]</w:t>
      </w:r>
      <w:r w:rsidR="00F158F9" w:rsidRPr="00A72A65">
        <w:rPr>
          <w:rFonts w:asciiTheme="majorHAnsi" w:hAnsiTheme="majorHAnsi" w:cstheme="majorHAnsi"/>
          <w:sz w:val="20"/>
          <w:szCs w:val="20"/>
          <w:lang w:val="es-ES"/>
        </w:rPr>
        <w:fldChar w:fldCharType="end"/>
      </w:r>
      <w:r w:rsidRPr="00A72A65">
        <w:rPr>
          <w:rFonts w:asciiTheme="majorHAnsi" w:hAnsiTheme="majorHAnsi" w:cstheme="majorHAnsi"/>
          <w:sz w:val="20"/>
          <w:szCs w:val="20"/>
          <w:lang w:val="es-ES"/>
        </w:rPr>
        <w:t xml:space="preserve"> </w:t>
      </w:r>
    </w:p>
    <w:p w14:paraId="5D8846D3" w14:textId="246D679C" w:rsidR="002B7539" w:rsidRPr="00A72A65" w:rsidRDefault="00A04F37" w:rsidP="00A72A65">
      <w:pPr>
        <w:spacing w:line="360" w:lineRule="auto"/>
        <w:ind w:firstLine="708"/>
        <w:jc w:val="both"/>
        <w:rPr>
          <w:rFonts w:asciiTheme="majorHAnsi" w:hAnsiTheme="majorHAnsi" w:cstheme="majorHAnsi"/>
          <w:sz w:val="20"/>
          <w:szCs w:val="20"/>
          <w:lang w:val="es-ES"/>
        </w:rPr>
      </w:pPr>
      <w:r w:rsidRPr="00A72A65">
        <w:rPr>
          <w:rFonts w:asciiTheme="majorHAnsi" w:hAnsiTheme="majorHAnsi" w:cstheme="majorHAnsi"/>
          <w:sz w:val="20"/>
          <w:szCs w:val="20"/>
          <w:lang w:val="es-ES"/>
        </w:rPr>
        <w:t xml:space="preserve">Los factores pronósticos en la LLC son múltiples y han sido y siguen siendo objeto de intensa investigación con el fin de dar respuesta a la </w:t>
      </w:r>
      <w:r w:rsidR="00A72A65" w:rsidRPr="00A72A65">
        <w:rPr>
          <w:rFonts w:asciiTheme="majorHAnsi" w:hAnsiTheme="majorHAnsi" w:cstheme="majorHAnsi"/>
          <w:sz w:val="20"/>
          <w:szCs w:val="20"/>
          <w:lang w:val="es-ES"/>
        </w:rPr>
        <w:t>variabilidad</w:t>
      </w:r>
      <w:r w:rsidRPr="00A72A65">
        <w:rPr>
          <w:rFonts w:asciiTheme="majorHAnsi" w:hAnsiTheme="majorHAnsi" w:cstheme="majorHAnsi"/>
          <w:sz w:val="20"/>
          <w:szCs w:val="20"/>
          <w:lang w:val="es-ES"/>
        </w:rPr>
        <w:t xml:space="preserve"> de comportamiento de la enfermedad así como el patrón de respuesta a diferentes agentes terapéuticos. El estado mutacional de la región variable de la cadena pesada de inmunoglobulina (IGHV) de las células de la LLC fue uno de los primeros marcadores pronósticos sólidos en ser reconocido. Cuando existe una diferencia &gt; 2% de variabilidad con la línea germinal se </w:t>
      </w:r>
      <w:r w:rsidR="00A72A65" w:rsidRPr="00A72A65">
        <w:rPr>
          <w:rFonts w:asciiTheme="majorHAnsi" w:hAnsiTheme="majorHAnsi" w:cstheme="majorHAnsi"/>
          <w:sz w:val="20"/>
          <w:szCs w:val="20"/>
          <w:lang w:val="es-ES"/>
        </w:rPr>
        <w:t>considera</w:t>
      </w:r>
      <w:r w:rsidRPr="00A72A65">
        <w:rPr>
          <w:rFonts w:asciiTheme="majorHAnsi" w:hAnsiTheme="majorHAnsi" w:cstheme="majorHAnsi"/>
          <w:sz w:val="20"/>
          <w:szCs w:val="20"/>
          <w:lang w:val="es-ES"/>
        </w:rPr>
        <w:t xml:space="preserve"> no mutado, y esta situación predice una evolución desfavorable y una menor respuesta a los tratamientos inmunoquimioterápicos tradicionales. La expresión de ZAP-70 y CD38 se asocia a un pronóstico también desfavorable fundamentalmente por la correlación entre la expresión de estos marcadores y el estado no mutado de IGVH. A nivel serológico, los niveles elevados de Beta 2 microglobulina constituyen un factor de riesgo independiente. La presencia de ciertas alteraciones citogenéticas y moleculares como la del17p y/o la mutación del gen p53 son considerados hoy en día los eventos de mayor impacto pronóstico, determinando resistencia a </w:t>
      </w:r>
      <w:r w:rsidRPr="00A72A65">
        <w:rPr>
          <w:rFonts w:asciiTheme="majorHAnsi" w:hAnsiTheme="majorHAnsi" w:cstheme="majorHAnsi"/>
          <w:sz w:val="20"/>
          <w:szCs w:val="20"/>
          <w:lang w:val="es-ES"/>
        </w:rPr>
        <w:lastRenderedPageBreak/>
        <w:t xml:space="preserve">los tratamientos quimioterápicos convencionales. </w:t>
      </w:r>
      <w:r w:rsidR="006F51C3">
        <w:rPr>
          <w:rFonts w:asciiTheme="majorHAnsi" w:hAnsiTheme="majorHAnsi" w:cstheme="majorHAnsi"/>
          <w:sz w:val="20"/>
          <w:szCs w:val="20"/>
          <w:lang w:val="es-ES"/>
        </w:rPr>
        <w:t>Nuevos factores pronósticos como la proteína LPL y vías de activación se están estudiando a fin de entender las características diferentes de evolución paciente a paciente.</w:t>
      </w:r>
      <w:r w:rsidR="006F51C3">
        <w:rPr>
          <w:rFonts w:asciiTheme="majorHAnsi" w:hAnsiTheme="majorHAnsi" w:cstheme="majorHAnsi"/>
          <w:sz w:val="20"/>
          <w:szCs w:val="20"/>
          <w:lang w:val="es-ES"/>
        </w:rPr>
        <w:fldChar w:fldCharType="begin" w:fldLock="1"/>
      </w:r>
      <w:r w:rsidR="007E4586">
        <w:rPr>
          <w:rFonts w:asciiTheme="majorHAnsi" w:hAnsiTheme="majorHAnsi" w:cstheme="majorHAnsi"/>
          <w:sz w:val="20"/>
          <w:szCs w:val="20"/>
          <w:lang w:val="es-ES"/>
        </w:rPr>
        <w:instrText>ADDIN CSL_CITATION {"citationItems":[{"id":"ITEM-1","itemData":{"DOI":"10.1111/bjh.15427","ISSN":"00071048","author":[{"dropping-particle":"","family":"Prieto","given":"Daniel","non-dropping-particle":"","parse-names":false,"suffix":""},{"dropping-particle":"","family":"Seija","given":"Noé","non-dropping-particle":"","parse-names":false,"suffix":""},{"dropping-particle":"","family":"Uriepero","given":"Angimar","non-dropping-particle":"","parse-names":false,"suffix":""},{"dropping-particle":"","family":"Souto-Padron","given":"Thais","non-dropping-particle":"","parse-names":false,"suffix":""},{"dropping-particle":"","family":"Oliver","given":"Carolina","non-dropping-particle":"","parse-names":false,"suffix":""},{"dropping-particle":"","family":"Irigoin","given":"Victoria","non-dropping-particle":"","parse-names":false,"suffix":""},{"dropping-particle":"","family":"Guillermo","given":"Cecilia","non-dropping-particle":"","parse-names":false,"suffix":""},{"dropping-particle":"","family":"Navarrete","given":"Marcelo A.","non-dropping-particle":"","parse-names":false,"suffix":""},{"dropping-particle":"","family":"Inés Landoni","given":"Ana","non-dropping-particle":"","parse-names":false,"suffix":""},{"dropping-particle":"","family":"Dighiero","given":"Guillermo","non-dropping-particle":"","parse-names":false,"suffix":""},{"dropping-particle":"","family":"Gabus","given":"Raúl","non-dropping-particle":"","parse-names":false,"suffix":""},{"dropping-particle":"","family":"Giordano","given":"Mirta","non-dropping-particle":"","parse-names":false,"suffix":""},{"dropping-particle":"","family":"Oppezzo","given":"Pablo","non-dropping-particle":"","parse-names":false,"suffix":""}],"container-title":"British Journal of Haematology","id":"ITEM-1","issue":"4","issued":{"date-parts":[["2018","8"]]},"page":"521-525","title":"LPL protein in Chronic Lymphocytic Leukaemia have different origins in Mutated and Unmutated patients. Advances for a new prognostic marker in CLL","type":"article-journal","volume":"182"},"uris":["http://www.mendeley.com/documents/?uuid=5fa9b92e-01b3-4e16-98b7-bc03ed616509"]},{"id":"ITEM-2","itemData":{"DOI":"10.1182/blood-2017-02-769851","ISSN":"0006-4971","abstract":"Plasma-derived exosomes from patients with CLL exhibit different protein cargo compositions depending on disease status and progression. S100-A9 protein is overexpressed and S100-A9 cargo in exosomes activates NF-κB pathway in patients with CLL during disease progression.","author":[{"dropping-particle":"","family":"Prieto","given":"Daniel","non-dropping-particle":"","parse-names":false,"suffix":""},{"dropping-particle":"","family":"Sotelo","given":"Natalia","non-dropping-particle":"","parse-names":false,"suffix":""},{"dropping-particle":"","family":"Seija","given":"Noé","non-dropping-particle":"","parse-names":false,"suffix":""},{"dropping-particle":"","family":"Sernbo","given":"Sandra","non-dropping-particle":"","parse-names":false,"suffix":""},{"dropping-particle":"","family":"Abreu","given":"Cecilia","non-dropping-particle":"","parse-names":false,"suffix":""},{"dropping-particle":"","family":"Durán","given":"Rosario","non-dropping-particle":"","parse-names":false,"suffix":""},{"dropping-particle":"","family":"Gil","given":"Magdalena","non-dropping-particle":"","parse-names":false,"suffix":""},{"dropping-particle":"","family":"Sicco","given":"Estefanía","non-dropping-particle":"","parse-names":false,"suffix":""},{"dropping-particle":"","family":"Irigoin","given":"Victoria","non-dropping-particle":"","parse-names":false,"suffix":""},{"dropping-particle":"","family":"Oliver","given":"Carolina","non-dropping-particle":"","parse-names":false,"suffix":""},{"dropping-particle":"","family":"Landoni","given":"Ana Inés","non-dropping-particle":"","parse-names":false,"suffix":""},{"dropping-particle":"","family":"Gabus","given":"Raúl","non-dropping-particle":"","parse-names":false,"suffix":""},{"dropping-particle":"","family":"Dighiero","given":"Guillermo","non-dropping-particle":"","parse-names":false,"suffix":""},{"dropping-particle":"","family":"Oppezzo","given":"Pablo","non-dropping-particle":"","parse-names":false,"suffix":""}],"container-title":"Blood","id":"ITEM-2","issue":"6","issued":{"date-parts":[["2017","8","10"]]},"page":"777-788","title":"S100-A9 protein in exosomes from chronic lymphocytic leukemia cells promotes NF-κB activity during disease progression","type":"article-journal","volume":"130"},"uris":["http://www.mendeley.com/documents/?uuid=0f1c6e43-f735-49b6-979f-963407d458ae"]}],"mendeley":{"formattedCitation":"[6,7]","plainTextFormattedCitation":"[6,7]","previouslyFormattedCitation":"[6,7]"},"properties":{"noteIndex":0},"schema":"https://github.com/citation-style-language/schema/raw/master/csl-citation.json"}</w:instrText>
      </w:r>
      <w:r w:rsidR="006F51C3">
        <w:rPr>
          <w:rFonts w:asciiTheme="majorHAnsi" w:hAnsiTheme="majorHAnsi" w:cstheme="majorHAnsi"/>
          <w:sz w:val="20"/>
          <w:szCs w:val="20"/>
          <w:lang w:val="es-ES"/>
        </w:rPr>
        <w:fldChar w:fldCharType="separate"/>
      </w:r>
      <w:r w:rsidR="006F51C3" w:rsidRPr="006F51C3">
        <w:rPr>
          <w:rFonts w:asciiTheme="majorHAnsi" w:hAnsiTheme="majorHAnsi" w:cstheme="majorHAnsi"/>
          <w:noProof/>
          <w:sz w:val="20"/>
          <w:szCs w:val="20"/>
          <w:lang w:val="es-ES"/>
        </w:rPr>
        <w:t>[6,7]</w:t>
      </w:r>
      <w:r w:rsidR="006F51C3">
        <w:rPr>
          <w:rFonts w:asciiTheme="majorHAnsi" w:hAnsiTheme="majorHAnsi" w:cstheme="majorHAnsi"/>
          <w:sz w:val="20"/>
          <w:szCs w:val="20"/>
          <w:lang w:val="es-ES"/>
        </w:rPr>
        <w:fldChar w:fldCharType="end"/>
      </w:r>
      <w:r w:rsidR="006F51C3">
        <w:rPr>
          <w:rFonts w:asciiTheme="majorHAnsi" w:hAnsiTheme="majorHAnsi" w:cstheme="majorHAnsi"/>
          <w:sz w:val="20"/>
          <w:szCs w:val="20"/>
          <w:lang w:val="es-ES"/>
        </w:rPr>
        <w:t xml:space="preserve"> </w:t>
      </w:r>
      <w:r w:rsidRPr="00A72A65">
        <w:rPr>
          <w:rFonts w:asciiTheme="majorHAnsi" w:hAnsiTheme="majorHAnsi" w:cstheme="majorHAnsi"/>
          <w:sz w:val="20"/>
          <w:szCs w:val="20"/>
          <w:lang w:val="es-ES"/>
        </w:rPr>
        <w:t xml:space="preserve">En años recientes se han desarrollado y aprobado varios agentes terapéuticos en monoterapia o en combinación que demuestran efectividad en pacientes con dichas alteraciones. Esto resalta la importancia de contar con este estudio previo al inicio de tratamiento tanto en primera línea como en </w:t>
      </w:r>
      <w:r w:rsidR="00F158F9" w:rsidRPr="00A72A65">
        <w:rPr>
          <w:rFonts w:asciiTheme="majorHAnsi" w:hAnsiTheme="majorHAnsi" w:cstheme="majorHAnsi"/>
          <w:sz w:val="20"/>
          <w:szCs w:val="20"/>
          <w:lang w:val="es-ES"/>
        </w:rPr>
        <w:t>siguientes recaídas</w:t>
      </w:r>
      <w:r w:rsidRPr="00A72A65">
        <w:rPr>
          <w:rFonts w:asciiTheme="majorHAnsi" w:hAnsiTheme="majorHAnsi" w:cstheme="majorHAnsi"/>
          <w:sz w:val="20"/>
          <w:szCs w:val="20"/>
          <w:lang w:val="es-ES"/>
        </w:rPr>
        <w:t xml:space="preserve"> a efecto de seleccionar el tratamiento más adecuado para los pacientes.</w:t>
      </w:r>
      <w:r w:rsidR="009467A9" w:rsidRPr="00A72A65">
        <w:rPr>
          <w:rFonts w:asciiTheme="majorHAnsi" w:hAnsiTheme="majorHAnsi" w:cstheme="majorHAnsi"/>
          <w:sz w:val="20"/>
          <w:szCs w:val="20"/>
          <w:lang w:val="es-ES"/>
        </w:rPr>
        <w:fldChar w:fldCharType="begin" w:fldLock="1"/>
      </w:r>
      <w:r w:rsidR="007E4586">
        <w:rPr>
          <w:rFonts w:asciiTheme="majorHAnsi" w:hAnsiTheme="majorHAnsi" w:cstheme="majorHAnsi"/>
          <w:sz w:val="20"/>
          <w:szCs w:val="20"/>
          <w:lang w:val="es-ES"/>
        </w:rPr>
        <w:instrText>ADDIN CSL_CITATION {"citationItems":[{"id":"ITEM-1","itemData":{"DOI":"10.1182/blood.V94.6.1840","ISSN":"1528-0020","abstract":"Cellular immunophenotypic studies were performed on a cohort of randomly selected IgM+ B-chronic lymphocytic leukemia (B-CLL) cases for which Ig VH and VL gene sequences were available. The cases were categorized based on V gene mutation status and CD38 expression and analyzed for treatment history and survival. The B-CLL cases could be divided into 2 groups. Those patients with unmutated V genes displayed higher percentages of CD38+ B-CLL cells (≥30%) than those with mutated V genes that had lower percentages of CD38+ cells (&lt;30%). Patients in both the unmutated and the ≥30% CD38+ groups responded poorly to continuous multiregimen chemotherapy (including fludarabine) and had shorter survival. In contrast, the mutated and the &lt;30% CD38+ groups required minimal or no chemotherapy and had prolonged survival. These observations were true also for those patients who stratified to the Rai intermediate risk category. In the mutated and the &lt;30% CD38+ groups, males and females were virtually equally distributed, whereas in the unmutated and the ≥30% CD38+ groups, a marked male predominance was found. Thus, Ig V gene mutation status and the percentages of CD38+B-CLL cells appear to be accurate predictors of clinical outcome in B-CLL patients. These parameters, especially CD38 expression that can be analyzed conveniently in most clinical laboratories, should be valuable adjuncts to the present staging systems for predicting the clinical course in individual B-CLL cases. Future evaluations of new therapeutic strategies and drugs should take into account the different natural histories of patients categorized in these manners.","author":[{"dropping-particle":"","family":"Damle","given":"Rajendra N.","non-dropping-particle":"","parse-names":false,"suffix":""},{"dropping-particle":"","family":"Wasil","given":"Tarun","non-dropping-particle":"","parse-names":false,"suffix":""},{"dropping-particle":"","family":"Fais","given":"Franco","non-dropping-particle":"","parse-names":false,"suffix":""},{"dropping-particle":"","family":"Ghiotto","given":"Fabio","non-dropping-particle":"","parse-names":false,"suffix":""},{"dropping-particle":"","family":"Valetto","given":"Angelo","non-dropping-particle":"","parse-names":false,"suffix":""},{"dropping-particle":"","family":"Allen","given":"Steven L.","non-dropping-particle":"","parse-names":false,"suffix":""},{"dropping-particle":"","family":"Buchbinder","given":"Aby","non-dropping-particle":"","parse-names":false,"suffix":""},{"dropping-particle":"","family":"Budman","given":"Daniel","non-dropping-particle":"","parse-names":false,"suffix":""},{"dropping-particle":"","family":"Dittmar","given":"Klaus","non-dropping-particle":"","parse-names":false,"suffix":""},{"dropping-particle":"","family":"Kolitz","given":"Jonathan","non-dropping-particle":"","parse-names":false,"suffix":""},{"dropping-particle":"","family":"Lichtman","given":"Stuart M.","non-dropping-particle":"","parse-names":false,"suffix":""},{"dropping-particle":"","family":"Schulman","given":"Philip","non-dropping-particle":"","parse-names":false,"suffix":""},{"dropping-particle":"","family":"Vinciguerra","given":"Vincent P.","non-dropping-particle":"","parse-names":false,"suffix":""},{"dropping-particle":"","family":"Rai","given":"Kanti R.","non-dropping-particle":"","parse-names":false,"suffix":""},{"dropping-particle":"","family":"Ferrarini","given":"Manlio","non-dropping-particle":"","parse-names":false,"suffix":""},{"dropping-particle":"","family":"Chiorazzi","given":"Nicholas","non-dropping-particle":"","parse-names":false,"suffix":""}],"container-title":"Blood","id":"ITEM-1","issue":"6","issued":{"date-parts":[["1999","9","15"]]},"page":"1840-1847","title":"Ig V Gene Mutation Status and CD38 Expression As Novel Prognostic Indicators in Chronic Lymphocytic Leukemia","type":"article-journal","volume":"94"},"uris":["http://www.mendeley.com/documents/?uuid=ed714672-93f4-4b02-ba07-41f413459348"]},{"id":"ITEM-2","itemData":{"DOI":"10.1182/blood.V94.6.1848","ISSN":"1528-0020","abstract":"Despite having several characteristics of naı̈ve B cells, chronic lymphocytic leukemia (CLL) cells have been shown in some cases to have somatically mutated Ig variable region genes, indicating that the cell of origin has passed through the germinal center. A previous study of patients with CLL found an association between lack of somatic mutation and trisomy 12 and, therefore, possibly with a less favorable prognosis. We have sequenced the Ig VH genes of the tumor cells of 84 patients with CLL and correlated our findings with clinical features. A total of 38 cases (45.2%) showed ≥ 98% sequence homology with the nearest germline VH gene; 46 cases (54.8%) showed &amp;gt;2% somatic mutation. Unmutated VH genes were significantly associated with V1-69 and D3-3 usage, with atypical morphology; isolated trisomy 12, advanced stage and progressive disease. Survival was significantly worse for patients with unmutated VH genes irrespective of stage. Median survival for stage A patients with unmutated VH genes was 95 months compared with 293 months for patients whose tumors had mutated VHgenes (P = .0008). The simplest explanation is that CLL comprises 2 different diseases with different clinical courses. One, arising from a memory B cell, has a benign course, the other, arising from a naı̈ve B cell, is more malignant.","author":[{"dropping-particle":"","family":"Hamblin","given":"Terry J.","non-dropping-particle":"","parse-names":false,"suffix":""},{"dropping-particle":"","family":"Davis","given":"Zadie","non-dropping-particle":"","parse-names":false,"suffix":""},{"dropping-particle":"","family":"Gardiner","given":"Anne","non-dropping-particle":"","parse-names":false,"suffix":""},{"dropping-particle":"","family":"Oscier","given":"David G.","non-dropping-particle":"","parse-names":false,"suffix":""},{"dropping-particle":"","family":"Stevenson","given":"Freda K.","non-dropping-particle":"","parse-names":false,"suffix":""}],"container-title":"Blood","id":"ITEM-2","issue":"6","issued":{"date-parts":[["1999","9","15"]]},"page":"1848-1854","title":"Unmutated Ig VH Genes Are Associated With a More Aggressive Form of Chronic Lymphocytic Leukemia","type":"article-journal","volume":"94"},"uris":["http://www.mendeley.com/documents/?uuid=24f0e4ae-aa0f-49bc-8114-ce68b2d8365e"]},{"id":"ITEM-3","itemData":{"DOI":"10.1016/S1470-2045(16)30029-8","ISSN":"14702045","container-title":"The Lancet Oncology","id":"ITEM-3","issue":"6","issued":{"date-parts":[["2016","6"]]},"page":"779-790","title":"An international prognostic index for patients with chronic lymphocytic leukaemia (CLL-IPI): a meta-analysis of individual patient data","type":"article-journal","volume":"17"},"uris":["http://www.mendeley.com/documents/?uuid=d9087053-8a35-47ea-8748-345048cf1bdd"]}],"mendeley":{"formattedCitation":"[8–10]","plainTextFormattedCitation":"[8–10]","previouslyFormattedCitation":"[8–10]"},"properties":{"noteIndex":0},"schema":"https://github.com/citation-style-language/schema/raw/master/csl-citation.json"}</w:instrText>
      </w:r>
      <w:r w:rsidR="009467A9" w:rsidRPr="00A72A65">
        <w:rPr>
          <w:rFonts w:asciiTheme="majorHAnsi" w:hAnsiTheme="majorHAnsi" w:cstheme="majorHAnsi"/>
          <w:sz w:val="20"/>
          <w:szCs w:val="20"/>
          <w:lang w:val="es-ES"/>
        </w:rPr>
        <w:fldChar w:fldCharType="separate"/>
      </w:r>
      <w:r w:rsidR="006F51C3" w:rsidRPr="006F51C3">
        <w:rPr>
          <w:rFonts w:asciiTheme="majorHAnsi" w:hAnsiTheme="majorHAnsi" w:cstheme="majorHAnsi"/>
          <w:noProof/>
          <w:sz w:val="20"/>
          <w:szCs w:val="20"/>
          <w:lang w:val="es-ES"/>
        </w:rPr>
        <w:t>[8–10]</w:t>
      </w:r>
      <w:r w:rsidR="009467A9" w:rsidRPr="00A72A65">
        <w:rPr>
          <w:rFonts w:asciiTheme="majorHAnsi" w:hAnsiTheme="majorHAnsi" w:cstheme="majorHAnsi"/>
          <w:sz w:val="20"/>
          <w:szCs w:val="20"/>
          <w:lang w:val="es-ES"/>
        </w:rPr>
        <w:fldChar w:fldCharType="end"/>
      </w:r>
    </w:p>
    <w:p w14:paraId="15CAB031" w14:textId="77777777" w:rsidR="009467A9" w:rsidRPr="00A72A65" w:rsidRDefault="009467A9" w:rsidP="00A72A65">
      <w:pPr>
        <w:spacing w:line="360" w:lineRule="auto"/>
        <w:ind w:firstLine="708"/>
        <w:jc w:val="both"/>
        <w:rPr>
          <w:rFonts w:asciiTheme="majorHAnsi" w:hAnsiTheme="majorHAnsi" w:cstheme="majorHAnsi"/>
          <w:sz w:val="20"/>
          <w:szCs w:val="20"/>
          <w:lang w:val="es-ES"/>
        </w:rPr>
      </w:pPr>
    </w:p>
    <w:p w14:paraId="5011F088" w14:textId="77777777" w:rsidR="002B7539" w:rsidRPr="00A72A65" w:rsidRDefault="002B7539" w:rsidP="00A72A65">
      <w:pPr>
        <w:spacing w:line="360" w:lineRule="auto"/>
        <w:jc w:val="both"/>
        <w:rPr>
          <w:rFonts w:asciiTheme="majorHAnsi" w:eastAsia="Times New Roman" w:hAnsiTheme="majorHAnsi" w:cstheme="majorHAnsi"/>
          <w:sz w:val="20"/>
          <w:szCs w:val="20"/>
          <w:lang w:val="es-ES"/>
        </w:rPr>
      </w:pPr>
    </w:p>
    <w:p w14:paraId="5B45701D" w14:textId="77777777" w:rsidR="002B7539" w:rsidRPr="00A72A65" w:rsidRDefault="00A04F37" w:rsidP="00A72A65">
      <w:pPr>
        <w:pStyle w:val="Prrafodelista"/>
        <w:numPr>
          <w:ilvl w:val="1"/>
          <w:numId w:val="5"/>
        </w:numPr>
        <w:spacing w:line="360" w:lineRule="auto"/>
        <w:jc w:val="both"/>
        <w:rPr>
          <w:rFonts w:asciiTheme="majorHAnsi" w:hAnsiTheme="majorHAnsi" w:cstheme="majorHAnsi"/>
          <w:b/>
          <w:sz w:val="20"/>
          <w:szCs w:val="20"/>
          <w:lang w:val="es-ES"/>
        </w:rPr>
      </w:pPr>
      <w:r w:rsidRPr="00A72A65">
        <w:rPr>
          <w:rFonts w:asciiTheme="majorHAnsi" w:hAnsiTheme="majorHAnsi" w:cstheme="majorHAnsi"/>
          <w:b/>
          <w:sz w:val="20"/>
          <w:szCs w:val="20"/>
          <w:lang w:val="es-ES"/>
        </w:rPr>
        <w:t>Planteamiento del Problema</w:t>
      </w:r>
    </w:p>
    <w:p w14:paraId="11EAF928" w14:textId="77777777" w:rsidR="002B7539" w:rsidRPr="00A72A65" w:rsidRDefault="002B7539" w:rsidP="00A72A65">
      <w:pPr>
        <w:spacing w:line="360" w:lineRule="auto"/>
        <w:jc w:val="both"/>
        <w:rPr>
          <w:rFonts w:asciiTheme="majorHAnsi" w:hAnsiTheme="majorHAnsi" w:cstheme="majorHAnsi"/>
          <w:lang w:val="es-ES"/>
        </w:rPr>
      </w:pPr>
    </w:p>
    <w:p w14:paraId="7E65273A" w14:textId="04522241" w:rsidR="002B7539" w:rsidRPr="00A72A65" w:rsidRDefault="00A04F37" w:rsidP="00A72A65">
      <w:pPr>
        <w:spacing w:line="360" w:lineRule="auto"/>
        <w:ind w:firstLine="708"/>
        <w:jc w:val="both"/>
        <w:rPr>
          <w:rFonts w:asciiTheme="majorHAnsi" w:hAnsiTheme="majorHAnsi" w:cstheme="majorHAnsi"/>
          <w:sz w:val="20"/>
          <w:szCs w:val="20"/>
          <w:lang w:val="es-ES"/>
        </w:rPr>
      </w:pPr>
      <w:r w:rsidRPr="00A72A65">
        <w:rPr>
          <w:rFonts w:asciiTheme="majorHAnsi" w:hAnsiTheme="majorHAnsi" w:cstheme="majorHAnsi"/>
          <w:sz w:val="20"/>
          <w:szCs w:val="20"/>
          <w:lang w:val="es-ES"/>
        </w:rPr>
        <w:t>La LLC es la leucemia crónica más frecuente en el adulto en países occidentales. En lo últimos años ha habido un desarrollo muy importante en el conocimiento de factores pronósticos y en la disponibilidad de agentes terapéuticos. Latinoamérica es un extenso territorio con una enorme heterogeneidad racial, étnica, cultural y económica,</w:t>
      </w:r>
      <w:r w:rsidR="006F51C3">
        <w:rPr>
          <w:rFonts w:asciiTheme="majorHAnsi" w:hAnsiTheme="majorHAnsi" w:cstheme="majorHAnsi"/>
          <w:sz w:val="20"/>
          <w:szCs w:val="20"/>
          <w:lang w:val="es-ES"/>
        </w:rPr>
        <w:t xml:space="preserve"> </w:t>
      </w:r>
      <w:r w:rsidRPr="00A72A65">
        <w:rPr>
          <w:rFonts w:asciiTheme="majorHAnsi" w:hAnsiTheme="majorHAnsi" w:cstheme="majorHAnsi"/>
          <w:sz w:val="20"/>
          <w:szCs w:val="20"/>
          <w:lang w:val="es-ES"/>
        </w:rPr>
        <w:t xml:space="preserve">por lo que extrapolar las características clínicas y el patrón de tratamiento de países del primer mundo a los pacientes de esta región no es reflejo de la realidad latinoamericana. Esto motiva el estudio de la epidemiología de la LLC en esta región, </w:t>
      </w:r>
      <w:r w:rsidR="006F51C3" w:rsidRPr="00A72A65">
        <w:rPr>
          <w:rFonts w:asciiTheme="majorHAnsi" w:hAnsiTheme="majorHAnsi" w:cstheme="majorHAnsi"/>
          <w:sz w:val="20"/>
          <w:szCs w:val="20"/>
          <w:lang w:val="es-ES"/>
        </w:rPr>
        <w:t>las características</w:t>
      </w:r>
      <w:r w:rsidRPr="00A72A65">
        <w:rPr>
          <w:rFonts w:asciiTheme="majorHAnsi" w:hAnsiTheme="majorHAnsi" w:cstheme="majorHAnsi"/>
          <w:sz w:val="20"/>
          <w:szCs w:val="20"/>
          <w:lang w:val="es-ES"/>
        </w:rPr>
        <w:t xml:space="preserve"> de la enfermedad, la disponibilidad y uso de </w:t>
      </w:r>
      <w:r w:rsidR="006F51C3" w:rsidRPr="00A72A65">
        <w:rPr>
          <w:rFonts w:asciiTheme="majorHAnsi" w:hAnsiTheme="majorHAnsi" w:cstheme="majorHAnsi"/>
          <w:sz w:val="20"/>
          <w:szCs w:val="20"/>
          <w:lang w:val="es-ES"/>
        </w:rPr>
        <w:t>marcadores pronósticos,</w:t>
      </w:r>
      <w:r w:rsidRPr="00A72A65">
        <w:rPr>
          <w:rFonts w:asciiTheme="majorHAnsi" w:hAnsiTheme="majorHAnsi" w:cstheme="majorHAnsi"/>
          <w:sz w:val="20"/>
          <w:szCs w:val="20"/>
          <w:lang w:val="es-ES"/>
        </w:rPr>
        <w:t xml:space="preserve"> así como el acceso a los diferentes agentes terapéuticos considerados de elección.</w:t>
      </w:r>
    </w:p>
    <w:p w14:paraId="099EE904" w14:textId="77777777" w:rsidR="002B7539" w:rsidRPr="00A72A65" w:rsidRDefault="002B7539" w:rsidP="00A72A65">
      <w:pPr>
        <w:spacing w:line="360" w:lineRule="auto"/>
        <w:ind w:firstLine="708"/>
        <w:jc w:val="both"/>
        <w:rPr>
          <w:rFonts w:asciiTheme="majorHAnsi" w:hAnsiTheme="majorHAnsi" w:cstheme="majorHAnsi"/>
          <w:sz w:val="20"/>
          <w:szCs w:val="20"/>
          <w:lang w:val="es-ES"/>
        </w:rPr>
      </w:pPr>
    </w:p>
    <w:p w14:paraId="305DE531" w14:textId="77777777" w:rsidR="002B7539" w:rsidRPr="00A72A65" w:rsidRDefault="002B7539" w:rsidP="00A72A65">
      <w:pPr>
        <w:spacing w:line="360" w:lineRule="auto"/>
        <w:jc w:val="both"/>
        <w:rPr>
          <w:rFonts w:asciiTheme="majorHAnsi" w:hAnsiTheme="majorHAnsi" w:cstheme="majorHAnsi"/>
          <w:sz w:val="20"/>
          <w:szCs w:val="20"/>
          <w:lang w:val="es-ES"/>
        </w:rPr>
      </w:pPr>
    </w:p>
    <w:p w14:paraId="1D2E5F1F" w14:textId="77777777" w:rsidR="002B7539" w:rsidRPr="00A72A65" w:rsidRDefault="00A04F37" w:rsidP="00A72A65">
      <w:pPr>
        <w:spacing w:line="360" w:lineRule="auto"/>
        <w:jc w:val="both"/>
        <w:rPr>
          <w:rFonts w:asciiTheme="majorHAnsi" w:hAnsiTheme="majorHAnsi" w:cstheme="majorHAnsi"/>
          <w:b/>
          <w:sz w:val="20"/>
          <w:szCs w:val="20"/>
          <w:lang w:val="es-ES"/>
        </w:rPr>
      </w:pPr>
      <w:r w:rsidRPr="00A72A65">
        <w:rPr>
          <w:rFonts w:asciiTheme="majorHAnsi" w:hAnsiTheme="majorHAnsi" w:cstheme="majorHAnsi"/>
          <w:b/>
          <w:sz w:val="20"/>
          <w:szCs w:val="20"/>
          <w:lang w:val="es-ES"/>
        </w:rPr>
        <w:t>1.3 Justificación</w:t>
      </w:r>
    </w:p>
    <w:p w14:paraId="1703E555" w14:textId="77777777" w:rsidR="002B7539" w:rsidRPr="00A72A65" w:rsidRDefault="002B7539" w:rsidP="00A72A65">
      <w:pPr>
        <w:spacing w:line="360" w:lineRule="auto"/>
        <w:jc w:val="both"/>
        <w:rPr>
          <w:rFonts w:asciiTheme="majorHAnsi" w:hAnsiTheme="majorHAnsi" w:cstheme="majorHAnsi"/>
          <w:sz w:val="20"/>
          <w:szCs w:val="20"/>
          <w:lang w:val="es-ES"/>
        </w:rPr>
      </w:pPr>
    </w:p>
    <w:p w14:paraId="0B81A2C8" w14:textId="7026C885" w:rsidR="002B7539" w:rsidRPr="00A72A65" w:rsidRDefault="00A04F37" w:rsidP="00A72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hAnsiTheme="majorHAnsi" w:cstheme="majorHAnsi"/>
          <w:sz w:val="20"/>
          <w:szCs w:val="20"/>
          <w:lang w:val="es-ES"/>
        </w:rPr>
      </w:pPr>
      <w:r w:rsidRPr="00A72A65">
        <w:rPr>
          <w:rFonts w:asciiTheme="majorHAnsi" w:hAnsiTheme="majorHAnsi" w:cstheme="majorHAnsi"/>
          <w:sz w:val="20"/>
          <w:szCs w:val="20"/>
          <w:lang w:val="es-ES"/>
        </w:rPr>
        <w:t xml:space="preserve">En los últimos años hemos presenciado grandes cambios en el manejo de la LLC, derivados del conocimiento biológico de la enfermedad. El reconocimiento de alteraciones citogenéticas o moleculares que determinan resistencia a determinados agentes quimioterápicos se encuentra en la base de la elección de tratamiento a instituir, y de acuerdo a las guías del iwCLL 2018, se considera indispensable el estudio citogenético por cariotipo convencional </w:t>
      </w:r>
      <w:r w:rsidR="006F51C3" w:rsidRPr="00A72A65">
        <w:rPr>
          <w:rFonts w:asciiTheme="majorHAnsi" w:hAnsiTheme="majorHAnsi" w:cstheme="majorHAnsi"/>
          <w:sz w:val="20"/>
          <w:szCs w:val="20"/>
          <w:lang w:val="es-ES"/>
        </w:rPr>
        <w:t>y FISH,</w:t>
      </w:r>
      <w:r w:rsidRPr="00A72A65">
        <w:rPr>
          <w:rFonts w:asciiTheme="majorHAnsi" w:hAnsiTheme="majorHAnsi" w:cstheme="majorHAnsi"/>
          <w:sz w:val="20"/>
          <w:szCs w:val="20"/>
          <w:lang w:val="es-ES"/>
        </w:rPr>
        <w:t xml:space="preserve"> así como la búsqueda de mutación del gen p53 por biología molecular previo al inicio de cada tratamiento para poder seleccionar adecuadamente el plan terapéutico. La diversidad latinoamericana también abarca el acceso a los servicios de salud, el acceso a estudios </w:t>
      </w:r>
      <w:r w:rsidR="006F51C3" w:rsidRPr="00A72A65">
        <w:rPr>
          <w:rFonts w:asciiTheme="majorHAnsi" w:hAnsiTheme="majorHAnsi" w:cstheme="majorHAnsi"/>
          <w:sz w:val="20"/>
          <w:szCs w:val="20"/>
          <w:lang w:val="es-ES"/>
        </w:rPr>
        <w:t>biológicos,</w:t>
      </w:r>
      <w:r w:rsidRPr="00A72A65">
        <w:rPr>
          <w:rFonts w:asciiTheme="majorHAnsi" w:hAnsiTheme="majorHAnsi" w:cstheme="majorHAnsi"/>
          <w:sz w:val="20"/>
          <w:szCs w:val="20"/>
          <w:lang w:val="es-ES"/>
        </w:rPr>
        <w:t xml:space="preserve"> así como el acceso a terapias dirigidas tanto entre países como dentro de cada uno de ellos.</w:t>
      </w:r>
    </w:p>
    <w:p w14:paraId="074E8F47" w14:textId="77777777" w:rsidR="002B7539" w:rsidRPr="00A72A65" w:rsidRDefault="00A04F37" w:rsidP="00A72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hAnsiTheme="majorHAnsi" w:cstheme="majorHAnsi"/>
          <w:lang w:val="es-ES"/>
        </w:rPr>
      </w:pPr>
      <w:r w:rsidRPr="00A72A65">
        <w:rPr>
          <w:rFonts w:asciiTheme="majorHAnsi" w:hAnsiTheme="majorHAnsi" w:cstheme="majorHAnsi"/>
          <w:sz w:val="20"/>
          <w:szCs w:val="20"/>
          <w:lang w:val="es-ES"/>
        </w:rPr>
        <w:t>Este trabajo tiene como idea conocer las diferencias epidemiológicas de esta enfermedad entre los diferentes países y evaluar hasta que punto los diferentes países han podido acompasar las recomendaciones de las guías internacionales de manejo de esta enfermedad en función del acceso a técnicas y medicamentos.</w:t>
      </w:r>
    </w:p>
    <w:p w14:paraId="6BDB483E" w14:textId="77777777" w:rsidR="002B7539" w:rsidRPr="00A72A65" w:rsidRDefault="002B7539" w:rsidP="00A72A65">
      <w:pPr>
        <w:tabs>
          <w:tab w:val="left" w:pos="1787"/>
        </w:tabs>
        <w:spacing w:line="360" w:lineRule="auto"/>
        <w:jc w:val="both"/>
        <w:rPr>
          <w:rFonts w:asciiTheme="majorHAnsi" w:hAnsiTheme="majorHAnsi" w:cstheme="majorHAnsi"/>
          <w:lang w:val="es-ES"/>
        </w:rPr>
      </w:pPr>
    </w:p>
    <w:p w14:paraId="566F6E3B" w14:textId="77777777" w:rsidR="002B7539" w:rsidRPr="00A72A65" w:rsidRDefault="002B7539" w:rsidP="00A72A65">
      <w:pPr>
        <w:spacing w:line="360" w:lineRule="auto"/>
        <w:jc w:val="both"/>
        <w:rPr>
          <w:rFonts w:asciiTheme="majorHAnsi" w:hAnsiTheme="majorHAnsi" w:cstheme="majorHAnsi"/>
          <w:b/>
          <w:color w:val="000000"/>
          <w:sz w:val="20"/>
          <w:szCs w:val="20"/>
          <w:lang w:val="es-ES"/>
        </w:rPr>
      </w:pPr>
    </w:p>
    <w:p w14:paraId="7AC807F4" w14:textId="77777777" w:rsidR="009467A9" w:rsidRPr="00A72A65" w:rsidRDefault="009467A9" w:rsidP="00A72A65">
      <w:pPr>
        <w:spacing w:line="360" w:lineRule="auto"/>
        <w:jc w:val="both"/>
        <w:rPr>
          <w:rFonts w:asciiTheme="majorHAnsi" w:hAnsiTheme="majorHAnsi" w:cstheme="majorHAnsi"/>
          <w:b/>
          <w:color w:val="000000"/>
          <w:sz w:val="20"/>
          <w:szCs w:val="20"/>
          <w:lang w:val="es-ES"/>
        </w:rPr>
      </w:pPr>
    </w:p>
    <w:p w14:paraId="3F3338C2" w14:textId="77777777" w:rsidR="006F51C3" w:rsidRDefault="006F51C3" w:rsidP="00A72A65">
      <w:pPr>
        <w:spacing w:line="360" w:lineRule="auto"/>
        <w:jc w:val="both"/>
        <w:rPr>
          <w:rFonts w:asciiTheme="majorHAnsi" w:hAnsiTheme="majorHAnsi" w:cstheme="majorHAnsi"/>
          <w:b/>
          <w:color w:val="000000"/>
          <w:sz w:val="20"/>
          <w:szCs w:val="20"/>
          <w:lang w:val="es-ES"/>
        </w:rPr>
      </w:pPr>
    </w:p>
    <w:p w14:paraId="4314F142" w14:textId="77777777" w:rsidR="00DE68F5" w:rsidRDefault="00DE68F5" w:rsidP="00A72A65">
      <w:pPr>
        <w:spacing w:line="360" w:lineRule="auto"/>
        <w:jc w:val="both"/>
        <w:rPr>
          <w:rFonts w:asciiTheme="majorHAnsi" w:hAnsiTheme="majorHAnsi" w:cstheme="majorHAnsi"/>
          <w:b/>
          <w:color w:val="000000"/>
          <w:sz w:val="20"/>
          <w:szCs w:val="20"/>
          <w:lang w:val="es-ES"/>
        </w:rPr>
      </w:pPr>
    </w:p>
    <w:p w14:paraId="0BE4A315" w14:textId="1AE78703" w:rsidR="002B7539" w:rsidRPr="00A72A65" w:rsidRDefault="00A04F37" w:rsidP="00A72A65">
      <w:pPr>
        <w:spacing w:line="360" w:lineRule="auto"/>
        <w:jc w:val="both"/>
        <w:rPr>
          <w:rFonts w:asciiTheme="majorHAnsi" w:hAnsiTheme="majorHAnsi" w:cstheme="majorHAnsi"/>
          <w:b/>
          <w:color w:val="000000"/>
          <w:sz w:val="20"/>
          <w:szCs w:val="20"/>
          <w:lang w:val="es-ES"/>
        </w:rPr>
      </w:pPr>
      <w:r w:rsidRPr="00A72A65">
        <w:rPr>
          <w:rFonts w:asciiTheme="majorHAnsi" w:hAnsiTheme="majorHAnsi" w:cstheme="majorHAnsi"/>
          <w:b/>
          <w:color w:val="000000"/>
          <w:sz w:val="20"/>
          <w:szCs w:val="20"/>
          <w:lang w:val="es-ES"/>
        </w:rPr>
        <w:lastRenderedPageBreak/>
        <w:t>CAPITULO II: OBJETIVOS DE INVESTIGACION</w:t>
      </w:r>
      <w:r w:rsidRPr="00A72A65">
        <w:rPr>
          <w:rFonts w:asciiTheme="majorHAnsi" w:hAnsiTheme="majorHAnsi" w:cstheme="majorHAnsi"/>
          <w:b/>
          <w:color w:val="000000"/>
          <w:sz w:val="20"/>
          <w:szCs w:val="20"/>
          <w:lang w:val="es-ES"/>
        </w:rPr>
        <w:tab/>
      </w:r>
      <w:r w:rsidRPr="00A72A65">
        <w:rPr>
          <w:rFonts w:asciiTheme="majorHAnsi" w:hAnsiTheme="majorHAnsi" w:cstheme="majorHAnsi"/>
          <w:b/>
          <w:color w:val="000000"/>
          <w:sz w:val="20"/>
          <w:szCs w:val="20"/>
          <w:lang w:val="es-ES"/>
        </w:rPr>
        <w:tab/>
      </w:r>
      <w:r w:rsidRPr="00A72A65">
        <w:rPr>
          <w:rFonts w:asciiTheme="majorHAnsi" w:hAnsiTheme="majorHAnsi" w:cstheme="majorHAnsi"/>
          <w:b/>
          <w:color w:val="000000"/>
          <w:sz w:val="20"/>
          <w:szCs w:val="20"/>
          <w:lang w:val="es-ES"/>
        </w:rPr>
        <w:tab/>
      </w:r>
    </w:p>
    <w:p w14:paraId="5D510158" w14:textId="77777777" w:rsidR="002B7539" w:rsidRPr="00A72A65" w:rsidRDefault="00A04F37" w:rsidP="00A72A65">
      <w:pPr>
        <w:spacing w:line="360" w:lineRule="auto"/>
        <w:jc w:val="both"/>
        <w:rPr>
          <w:rFonts w:asciiTheme="majorHAnsi" w:hAnsiTheme="majorHAnsi" w:cstheme="majorHAnsi"/>
          <w:b/>
          <w:color w:val="000000"/>
          <w:sz w:val="20"/>
          <w:szCs w:val="20"/>
          <w:lang w:val="es-ES"/>
        </w:rPr>
      </w:pPr>
      <w:r w:rsidRPr="00A72A65">
        <w:rPr>
          <w:rFonts w:asciiTheme="majorHAnsi" w:hAnsiTheme="majorHAnsi" w:cstheme="majorHAnsi"/>
          <w:b/>
          <w:color w:val="000000"/>
          <w:sz w:val="20"/>
          <w:szCs w:val="20"/>
          <w:lang w:val="es-ES"/>
        </w:rPr>
        <w:tab/>
      </w:r>
      <w:r w:rsidRPr="00A72A65">
        <w:rPr>
          <w:rFonts w:asciiTheme="majorHAnsi" w:hAnsiTheme="majorHAnsi" w:cstheme="majorHAnsi"/>
          <w:b/>
          <w:color w:val="000000"/>
          <w:sz w:val="20"/>
          <w:szCs w:val="20"/>
          <w:lang w:val="es-ES"/>
        </w:rPr>
        <w:tab/>
      </w:r>
    </w:p>
    <w:p w14:paraId="07AD66F6" w14:textId="77777777" w:rsidR="002B7539" w:rsidRPr="00A72A65" w:rsidRDefault="00A04F37" w:rsidP="00A72A65">
      <w:pPr>
        <w:spacing w:line="360" w:lineRule="auto"/>
        <w:jc w:val="both"/>
        <w:rPr>
          <w:rFonts w:asciiTheme="majorHAnsi" w:hAnsiTheme="majorHAnsi" w:cstheme="majorHAnsi"/>
          <w:b/>
          <w:bCs/>
          <w:color w:val="000000"/>
          <w:sz w:val="20"/>
          <w:szCs w:val="20"/>
          <w:lang w:val="es-ES"/>
        </w:rPr>
      </w:pPr>
      <w:r w:rsidRPr="00A72A65">
        <w:rPr>
          <w:rFonts w:asciiTheme="majorHAnsi" w:hAnsiTheme="majorHAnsi" w:cstheme="majorHAnsi"/>
          <w:b/>
          <w:bCs/>
          <w:color w:val="000000"/>
          <w:sz w:val="20"/>
          <w:szCs w:val="20"/>
          <w:lang w:val="es-ES"/>
        </w:rPr>
        <w:t>2.1.</w:t>
      </w:r>
      <w:r w:rsidRPr="00A72A65">
        <w:rPr>
          <w:rFonts w:asciiTheme="majorHAnsi" w:hAnsiTheme="majorHAnsi" w:cstheme="majorHAnsi"/>
          <w:b/>
          <w:bCs/>
          <w:color w:val="000000"/>
          <w:sz w:val="20"/>
          <w:szCs w:val="20"/>
          <w:lang w:val="es-ES"/>
        </w:rPr>
        <w:tab/>
        <w:t>Objetivo general</w:t>
      </w:r>
    </w:p>
    <w:p w14:paraId="2253A49D"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7DDEEC2E" w14:textId="77777777" w:rsidR="002B7539" w:rsidRPr="00A72A65" w:rsidRDefault="00A04F37" w:rsidP="00A72A65">
      <w:pPr>
        <w:pStyle w:val="Prrafodelista"/>
        <w:numPr>
          <w:ilvl w:val="0"/>
          <w:numId w:val="1"/>
        </w:numPr>
        <w:suppressAutoHyphens/>
        <w:spacing w:line="360" w:lineRule="auto"/>
        <w:jc w:val="both"/>
        <w:rPr>
          <w:rFonts w:asciiTheme="majorHAnsi" w:hAnsiTheme="majorHAnsi" w:cstheme="majorHAnsi"/>
          <w:sz w:val="20"/>
          <w:szCs w:val="20"/>
          <w:lang w:val="es-ES"/>
        </w:rPr>
      </w:pPr>
      <w:r w:rsidRPr="00A72A65">
        <w:rPr>
          <w:rFonts w:asciiTheme="majorHAnsi" w:hAnsiTheme="majorHAnsi" w:cstheme="majorHAnsi"/>
          <w:color w:val="000000"/>
          <w:sz w:val="20"/>
          <w:szCs w:val="20"/>
          <w:lang w:val="es-ES"/>
        </w:rPr>
        <w:t>Caracterización</w:t>
      </w:r>
      <w:r w:rsidRPr="00A72A65">
        <w:rPr>
          <w:rFonts w:asciiTheme="majorHAnsi" w:hAnsiTheme="majorHAnsi" w:cstheme="majorHAnsi"/>
          <w:sz w:val="20"/>
          <w:szCs w:val="20"/>
          <w:lang w:val="es-ES"/>
        </w:rPr>
        <w:t xml:space="preserve"> epidemiológica, evaluación del uso de biomarcadores y patrones de tratamiento de los pacientes con LLC/LLCP en los países que conforman el grupo GELL.</w:t>
      </w:r>
    </w:p>
    <w:p w14:paraId="6C17960C"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5FE43595" w14:textId="77777777" w:rsidR="002B7539" w:rsidRPr="00A72A65" w:rsidRDefault="00A04F37" w:rsidP="00A72A65">
      <w:pPr>
        <w:spacing w:line="360" w:lineRule="auto"/>
        <w:jc w:val="both"/>
        <w:rPr>
          <w:rFonts w:asciiTheme="majorHAnsi" w:hAnsiTheme="majorHAnsi" w:cstheme="majorHAnsi"/>
          <w:b/>
          <w:bCs/>
          <w:color w:val="000000"/>
          <w:sz w:val="20"/>
          <w:szCs w:val="20"/>
          <w:lang w:val="es-ES"/>
        </w:rPr>
      </w:pPr>
      <w:r w:rsidRPr="00A72A65">
        <w:rPr>
          <w:rFonts w:asciiTheme="majorHAnsi" w:hAnsiTheme="majorHAnsi" w:cstheme="majorHAnsi"/>
          <w:b/>
          <w:bCs/>
          <w:color w:val="000000"/>
          <w:sz w:val="20"/>
          <w:szCs w:val="20"/>
          <w:lang w:val="es-ES"/>
        </w:rPr>
        <w:t>2.2.</w:t>
      </w:r>
      <w:r w:rsidRPr="00A72A65">
        <w:rPr>
          <w:rFonts w:asciiTheme="majorHAnsi" w:hAnsiTheme="majorHAnsi" w:cstheme="majorHAnsi"/>
          <w:b/>
          <w:bCs/>
          <w:color w:val="000000"/>
          <w:sz w:val="20"/>
          <w:szCs w:val="20"/>
          <w:lang w:val="es-ES"/>
        </w:rPr>
        <w:tab/>
        <w:t>Objetivos específicos</w:t>
      </w:r>
    </w:p>
    <w:p w14:paraId="50E86C45"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7F8E766B" w14:textId="77777777" w:rsidR="002B7539" w:rsidRPr="00A72A65" w:rsidRDefault="00A04F37" w:rsidP="00A72A65">
      <w:pPr>
        <w:pStyle w:val="Prrafodelista"/>
        <w:numPr>
          <w:ilvl w:val="0"/>
          <w:numId w:val="2"/>
        </w:numPr>
        <w:suppressAutoHyphens/>
        <w:spacing w:line="360" w:lineRule="auto"/>
        <w:jc w:val="both"/>
        <w:rPr>
          <w:rFonts w:asciiTheme="majorHAnsi" w:hAnsiTheme="majorHAnsi" w:cstheme="majorHAnsi"/>
          <w:iCs/>
          <w:sz w:val="20"/>
          <w:szCs w:val="20"/>
          <w:lang w:val="es-ES"/>
        </w:rPr>
      </w:pPr>
      <w:r w:rsidRPr="00A72A65">
        <w:rPr>
          <w:rFonts w:asciiTheme="majorHAnsi" w:hAnsiTheme="majorHAnsi" w:cstheme="majorHAnsi"/>
          <w:iCs/>
          <w:sz w:val="20"/>
          <w:szCs w:val="20"/>
          <w:lang w:val="es-ES"/>
        </w:rPr>
        <w:t xml:space="preserve">Determinar las características epidemiológicas de LLC/LLCP en Latinoamérica. </w:t>
      </w:r>
    </w:p>
    <w:p w14:paraId="1761E188" w14:textId="77777777" w:rsidR="002B7539" w:rsidRPr="00A72A65" w:rsidRDefault="00A04F37" w:rsidP="00A72A65">
      <w:pPr>
        <w:pStyle w:val="Prrafodelista"/>
        <w:numPr>
          <w:ilvl w:val="0"/>
          <w:numId w:val="2"/>
        </w:numPr>
        <w:suppressAutoHyphens/>
        <w:spacing w:line="360" w:lineRule="auto"/>
        <w:jc w:val="both"/>
        <w:rPr>
          <w:rFonts w:asciiTheme="majorHAnsi" w:hAnsiTheme="majorHAnsi" w:cstheme="majorHAnsi"/>
          <w:iCs/>
          <w:sz w:val="20"/>
          <w:szCs w:val="20"/>
          <w:lang w:val="es-ES"/>
        </w:rPr>
      </w:pPr>
      <w:r w:rsidRPr="00A72A65">
        <w:rPr>
          <w:rFonts w:asciiTheme="majorHAnsi" w:hAnsiTheme="majorHAnsi" w:cstheme="majorHAnsi"/>
          <w:iCs/>
          <w:sz w:val="20"/>
          <w:szCs w:val="20"/>
          <w:lang w:val="es-ES"/>
        </w:rPr>
        <w:t xml:space="preserve">Determinar diferencias epidemiológicas entre los países participantes. </w:t>
      </w:r>
    </w:p>
    <w:p w14:paraId="2115DF39" w14:textId="29CF7631" w:rsidR="002B7539" w:rsidRPr="00A72A65" w:rsidRDefault="00A04F37" w:rsidP="00A72A65">
      <w:pPr>
        <w:pStyle w:val="Prrafodelista"/>
        <w:numPr>
          <w:ilvl w:val="0"/>
          <w:numId w:val="2"/>
        </w:numPr>
        <w:suppressAutoHyphens/>
        <w:spacing w:line="360" w:lineRule="auto"/>
        <w:jc w:val="both"/>
        <w:rPr>
          <w:rFonts w:asciiTheme="majorHAnsi" w:hAnsiTheme="majorHAnsi" w:cstheme="majorHAnsi"/>
          <w:color w:val="000000" w:themeColor="text1"/>
        </w:rPr>
      </w:pPr>
      <w:r w:rsidRPr="00A72A65">
        <w:rPr>
          <w:rFonts w:asciiTheme="majorHAnsi" w:hAnsiTheme="majorHAnsi" w:cstheme="majorHAnsi"/>
          <w:iCs/>
          <w:color w:val="000000" w:themeColor="text1"/>
          <w:sz w:val="20"/>
          <w:szCs w:val="20"/>
          <w:lang w:val="es-ES"/>
        </w:rPr>
        <w:t>Evaluar</w:t>
      </w:r>
      <w:r w:rsidRPr="00A72A65">
        <w:rPr>
          <w:rFonts w:asciiTheme="majorHAnsi" w:hAnsiTheme="majorHAnsi" w:cstheme="majorHAnsi"/>
          <w:bCs/>
          <w:iCs/>
          <w:color w:val="000000" w:themeColor="text1"/>
          <w:sz w:val="20"/>
          <w:szCs w:val="20"/>
          <w:lang w:val="es-ES"/>
        </w:rPr>
        <w:t xml:space="preserve"> la accesibilidad </w:t>
      </w:r>
      <w:r w:rsidR="000A3379" w:rsidRPr="00A72A65">
        <w:rPr>
          <w:rFonts w:asciiTheme="majorHAnsi" w:hAnsiTheme="majorHAnsi" w:cstheme="majorHAnsi"/>
          <w:bCs/>
          <w:iCs/>
          <w:color w:val="000000" w:themeColor="text1"/>
          <w:sz w:val="20"/>
          <w:szCs w:val="20"/>
          <w:lang w:val="es-ES"/>
        </w:rPr>
        <w:t>a</w:t>
      </w:r>
      <w:r w:rsidRPr="00A72A65">
        <w:rPr>
          <w:rFonts w:asciiTheme="majorHAnsi" w:hAnsiTheme="majorHAnsi" w:cstheme="majorHAnsi"/>
          <w:bCs/>
          <w:iCs/>
          <w:color w:val="000000" w:themeColor="text1"/>
          <w:sz w:val="20"/>
          <w:szCs w:val="20"/>
          <w:lang w:val="es-ES"/>
        </w:rPr>
        <w:t xml:space="preserve"> estudios de biomarcadores </w:t>
      </w:r>
      <w:r w:rsidR="006B64A1" w:rsidRPr="00A72A65">
        <w:rPr>
          <w:rFonts w:asciiTheme="majorHAnsi" w:hAnsiTheme="majorHAnsi" w:cstheme="majorHAnsi"/>
          <w:bCs/>
          <w:iCs/>
          <w:color w:val="000000" w:themeColor="text1"/>
          <w:sz w:val="20"/>
          <w:szCs w:val="20"/>
          <w:lang w:val="es-ES"/>
        </w:rPr>
        <w:t>pronósticos</w:t>
      </w:r>
      <w:r w:rsidRPr="00A72A65">
        <w:rPr>
          <w:rFonts w:asciiTheme="majorHAnsi" w:hAnsiTheme="majorHAnsi" w:cstheme="majorHAnsi"/>
          <w:bCs/>
          <w:iCs/>
          <w:color w:val="000000" w:themeColor="text1"/>
          <w:sz w:val="20"/>
          <w:szCs w:val="20"/>
          <w:lang w:val="es-ES"/>
        </w:rPr>
        <w:t>, y la frecuencia y momento de su realización</w:t>
      </w:r>
      <w:r w:rsidRPr="00A72A65">
        <w:rPr>
          <w:rFonts w:asciiTheme="majorHAnsi" w:hAnsiTheme="majorHAnsi" w:cstheme="majorHAnsi"/>
          <w:b/>
          <w:bCs/>
          <w:iCs/>
          <w:color w:val="000000" w:themeColor="text1"/>
          <w:sz w:val="20"/>
          <w:szCs w:val="20"/>
          <w:lang w:val="es-ES"/>
        </w:rPr>
        <w:t xml:space="preserve">. </w:t>
      </w:r>
    </w:p>
    <w:p w14:paraId="5F2145C0" w14:textId="77777777" w:rsidR="002B7539" w:rsidRPr="00A72A65" w:rsidRDefault="00A04F37" w:rsidP="00A72A65">
      <w:pPr>
        <w:pStyle w:val="Prrafodelista"/>
        <w:numPr>
          <w:ilvl w:val="0"/>
          <w:numId w:val="2"/>
        </w:numPr>
        <w:suppressAutoHyphens/>
        <w:spacing w:line="360" w:lineRule="auto"/>
        <w:jc w:val="both"/>
        <w:rPr>
          <w:rFonts w:asciiTheme="majorHAnsi" w:hAnsiTheme="majorHAnsi" w:cstheme="majorHAnsi"/>
          <w:iCs/>
          <w:sz w:val="20"/>
          <w:szCs w:val="20"/>
          <w:lang w:val="es-ES"/>
        </w:rPr>
      </w:pPr>
      <w:r w:rsidRPr="00A72A65">
        <w:rPr>
          <w:rFonts w:asciiTheme="majorHAnsi" w:hAnsiTheme="majorHAnsi" w:cstheme="majorHAnsi"/>
          <w:iCs/>
          <w:sz w:val="20"/>
          <w:szCs w:val="20"/>
          <w:lang w:val="es-ES"/>
        </w:rPr>
        <w:t xml:space="preserve">Determinar el porcentaje de pacientes cuyo manejo inicial es la observación (watch and wait) </w:t>
      </w:r>
    </w:p>
    <w:p w14:paraId="1A7DD1DC" w14:textId="77777777" w:rsidR="002B7539" w:rsidRPr="00A72A65" w:rsidRDefault="00A04F37" w:rsidP="00A72A65">
      <w:pPr>
        <w:pStyle w:val="Prrafodelista"/>
        <w:numPr>
          <w:ilvl w:val="0"/>
          <w:numId w:val="2"/>
        </w:numPr>
        <w:suppressAutoHyphens/>
        <w:spacing w:line="360" w:lineRule="auto"/>
        <w:jc w:val="both"/>
        <w:rPr>
          <w:rFonts w:asciiTheme="majorHAnsi" w:hAnsiTheme="majorHAnsi" w:cstheme="majorHAnsi"/>
          <w:iCs/>
          <w:color w:val="000000" w:themeColor="text1"/>
          <w:sz w:val="20"/>
          <w:szCs w:val="20"/>
          <w:lang w:val="es-ES"/>
        </w:rPr>
      </w:pPr>
      <w:r w:rsidRPr="00A72A65">
        <w:rPr>
          <w:rFonts w:asciiTheme="majorHAnsi" w:hAnsiTheme="majorHAnsi" w:cstheme="majorHAnsi"/>
          <w:iCs/>
          <w:sz w:val="20"/>
          <w:szCs w:val="20"/>
          <w:lang w:val="es-ES"/>
        </w:rPr>
        <w:t xml:space="preserve">Evaluar los tratamientos utilizados en primera línea y analizar esta elección de acuerdo a edad, comorbilidades y </w:t>
      </w:r>
      <w:r w:rsidRPr="00A72A65">
        <w:rPr>
          <w:rFonts w:asciiTheme="majorHAnsi" w:hAnsiTheme="majorHAnsi" w:cstheme="majorHAnsi"/>
          <w:bCs/>
          <w:iCs/>
          <w:color w:val="000000" w:themeColor="text1"/>
          <w:sz w:val="20"/>
          <w:szCs w:val="20"/>
          <w:lang w:val="es-ES"/>
        </w:rPr>
        <w:t xml:space="preserve">año de tratamiento </w:t>
      </w:r>
      <w:r w:rsidR="000A3379" w:rsidRPr="00A72A65">
        <w:rPr>
          <w:rFonts w:asciiTheme="majorHAnsi" w:hAnsiTheme="majorHAnsi" w:cstheme="majorHAnsi"/>
          <w:bCs/>
          <w:iCs/>
          <w:color w:val="000000" w:themeColor="text1"/>
          <w:sz w:val="20"/>
          <w:szCs w:val="20"/>
          <w:lang w:val="es-ES"/>
        </w:rPr>
        <w:t>dada la incorporación en recientes años de terapias dirigidas no existentes en el pasado.</w:t>
      </w:r>
    </w:p>
    <w:p w14:paraId="67E8A91B" w14:textId="77777777" w:rsidR="002B7539" w:rsidRPr="00A72A65" w:rsidRDefault="00A04F37" w:rsidP="00A72A65">
      <w:pPr>
        <w:pStyle w:val="Prrafodelista"/>
        <w:numPr>
          <w:ilvl w:val="0"/>
          <w:numId w:val="2"/>
        </w:numPr>
        <w:suppressAutoHyphens/>
        <w:spacing w:line="360" w:lineRule="auto"/>
        <w:jc w:val="both"/>
        <w:rPr>
          <w:rFonts w:asciiTheme="majorHAnsi" w:hAnsiTheme="majorHAnsi" w:cstheme="majorHAnsi"/>
          <w:iCs/>
          <w:sz w:val="20"/>
          <w:szCs w:val="20"/>
          <w:lang w:val="es-ES"/>
        </w:rPr>
      </w:pPr>
      <w:r w:rsidRPr="00A72A65">
        <w:rPr>
          <w:rFonts w:asciiTheme="majorHAnsi" w:hAnsiTheme="majorHAnsi" w:cstheme="majorHAnsi"/>
          <w:iCs/>
          <w:sz w:val="20"/>
          <w:szCs w:val="20"/>
          <w:lang w:val="es-ES"/>
        </w:rPr>
        <w:t xml:space="preserve">Valorar la supervivencia global, sobrevida libre de progresión y tiempo al siguiente tratamiento en los pacientes con </w:t>
      </w:r>
      <w:r w:rsidRPr="00A72A65">
        <w:rPr>
          <w:rFonts w:asciiTheme="majorHAnsi" w:hAnsiTheme="majorHAnsi" w:cstheme="majorHAnsi"/>
          <w:sz w:val="20"/>
          <w:szCs w:val="20"/>
          <w:lang w:val="es-ES"/>
        </w:rPr>
        <w:t>LLC/LLCP</w:t>
      </w:r>
      <w:r w:rsidRPr="00A72A65">
        <w:rPr>
          <w:rFonts w:asciiTheme="majorHAnsi" w:hAnsiTheme="majorHAnsi" w:cstheme="majorHAnsi"/>
          <w:iCs/>
          <w:sz w:val="20"/>
          <w:szCs w:val="20"/>
          <w:lang w:val="es-ES"/>
        </w:rPr>
        <w:t xml:space="preserve"> durante el periodo 2010-2020.  </w:t>
      </w:r>
    </w:p>
    <w:p w14:paraId="20655F42" w14:textId="77777777" w:rsidR="002B7539" w:rsidRPr="00A72A65" w:rsidRDefault="002B7539" w:rsidP="00A72A65">
      <w:pPr>
        <w:spacing w:line="360" w:lineRule="auto"/>
        <w:jc w:val="both"/>
        <w:rPr>
          <w:rFonts w:asciiTheme="majorHAnsi" w:hAnsiTheme="majorHAnsi" w:cstheme="majorHAnsi"/>
          <w:b/>
          <w:bCs/>
          <w:color w:val="000000"/>
          <w:sz w:val="20"/>
          <w:szCs w:val="20"/>
          <w:lang w:val="es-ES"/>
        </w:rPr>
      </w:pPr>
    </w:p>
    <w:p w14:paraId="6C043B91" w14:textId="77777777" w:rsidR="002B7539" w:rsidRPr="00A72A65" w:rsidRDefault="002B7539" w:rsidP="00A72A65">
      <w:pPr>
        <w:spacing w:line="360" w:lineRule="auto"/>
        <w:jc w:val="both"/>
        <w:rPr>
          <w:rFonts w:asciiTheme="majorHAnsi" w:hAnsiTheme="majorHAnsi" w:cstheme="majorHAnsi"/>
          <w:b/>
          <w:bCs/>
          <w:color w:val="000000"/>
          <w:sz w:val="20"/>
          <w:szCs w:val="20"/>
          <w:lang w:val="es-ES"/>
        </w:rPr>
      </w:pPr>
    </w:p>
    <w:p w14:paraId="796E2CA6" w14:textId="77777777" w:rsidR="002B7539" w:rsidRPr="00A72A65" w:rsidRDefault="00A04F37" w:rsidP="00A72A65">
      <w:pPr>
        <w:spacing w:line="360" w:lineRule="auto"/>
        <w:jc w:val="both"/>
        <w:rPr>
          <w:rFonts w:asciiTheme="majorHAnsi" w:hAnsiTheme="majorHAnsi" w:cstheme="majorHAnsi"/>
          <w:b/>
          <w:bCs/>
          <w:color w:val="000000"/>
          <w:sz w:val="20"/>
          <w:szCs w:val="20"/>
          <w:lang w:val="es-ES"/>
        </w:rPr>
      </w:pPr>
      <w:r w:rsidRPr="00A72A65">
        <w:rPr>
          <w:rFonts w:asciiTheme="majorHAnsi" w:hAnsiTheme="majorHAnsi" w:cstheme="majorHAnsi"/>
          <w:b/>
          <w:bCs/>
          <w:color w:val="000000"/>
          <w:sz w:val="20"/>
          <w:szCs w:val="20"/>
          <w:lang w:val="es-ES"/>
        </w:rPr>
        <w:t>CAPÍTULO III   METODOLOGIA</w:t>
      </w:r>
    </w:p>
    <w:p w14:paraId="12B3C9A1" w14:textId="77777777" w:rsidR="002B7539" w:rsidRPr="00A72A65" w:rsidRDefault="002B7539" w:rsidP="00A72A65">
      <w:pPr>
        <w:spacing w:line="360" w:lineRule="auto"/>
        <w:jc w:val="both"/>
        <w:rPr>
          <w:rFonts w:asciiTheme="majorHAnsi" w:hAnsiTheme="majorHAnsi" w:cstheme="majorHAnsi"/>
          <w:b/>
          <w:bCs/>
          <w:color w:val="000000"/>
          <w:sz w:val="20"/>
          <w:szCs w:val="20"/>
          <w:lang w:val="es-ES"/>
        </w:rPr>
      </w:pPr>
    </w:p>
    <w:p w14:paraId="164AD991" w14:textId="77777777" w:rsidR="002B7539" w:rsidRPr="00A72A65" w:rsidRDefault="00A04F37" w:rsidP="00A72A65">
      <w:pPr>
        <w:spacing w:line="360" w:lineRule="auto"/>
        <w:jc w:val="both"/>
        <w:rPr>
          <w:rFonts w:asciiTheme="majorHAnsi" w:hAnsiTheme="majorHAnsi" w:cstheme="majorHAnsi"/>
          <w:b/>
          <w:bCs/>
          <w:color w:val="000000"/>
          <w:sz w:val="20"/>
          <w:szCs w:val="20"/>
          <w:lang w:val="es-ES"/>
        </w:rPr>
      </w:pPr>
      <w:r w:rsidRPr="00A72A65">
        <w:rPr>
          <w:rFonts w:asciiTheme="majorHAnsi" w:hAnsiTheme="majorHAnsi" w:cstheme="majorHAnsi"/>
          <w:b/>
          <w:bCs/>
          <w:color w:val="000000"/>
          <w:sz w:val="20"/>
          <w:szCs w:val="20"/>
          <w:lang w:val="es-ES"/>
        </w:rPr>
        <w:t>3.1.</w:t>
      </w:r>
      <w:r w:rsidRPr="00A72A65">
        <w:rPr>
          <w:rFonts w:asciiTheme="majorHAnsi" w:hAnsiTheme="majorHAnsi" w:cstheme="majorHAnsi"/>
          <w:b/>
          <w:bCs/>
          <w:color w:val="000000"/>
          <w:sz w:val="20"/>
          <w:szCs w:val="20"/>
          <w:lang w:val="es-ES"/>
        </w:rPr>
        <w:tab/>
        <w:t>Diseño de estudio.</w:t>
      </w:r>
    </w:p>
    <w:p w14:paraId="50894C5E"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3E4390EF" w14:textId="77777777" w:rsidR="002B7539" w:rsidRPr="00A72A65" w:rsidRDefault="00A04F37" w:rsidP="00A72A65">
      <w:pPr>
        <w:spacing w:line="360" w:lineRule="auto"/>
        <w:ind w:left="708"/>
        <w:jc w:val="both"/>
        <w:rPr>
          <w:rFonts w:asciiTheme="majorHAnsi" w:hAnsiTheme="majorHAnsi" w:cstheme="majorHAnsi"/>
          <w:sz w:val="20"/>
          <w:szCs w:val="20"/>
          <w:lang w:val="es-ES"/>
        </w:rPr>
      </w:pPr>
      <w:r w:rsidRPr="00A72A65">
        <w:rPr>
          <w:rFonts w:asciiTheme="majorHAnsi" w:hAnsiTheme="majorHAnsi" w:cstheme="majorHAnsi"/>
          <w:sz w:val="20"/>
          <w:szCs w:val="20"/>
          <w:lang w:val="es-ES"/>
        </w:rPr>
        <w:t xml:space="preserve">Estudio retrospectivo, </w:t>
      </w:r>
      <w:r w:rsidRPr="00A72A65">
        <w:rPr>
          <w:rFonts w:asciiTheme="majorHAnsi" w:eastAsia="Times New Roman" w:hAnsiTheme="majorHAnsi" w:cstheme="majorHAnsi"/>
          <w:sz w:val="20"/>
          <w:szCs w:val="20"/>
          <w:lang w:val="es-ES" w:eastAsia="es-ES"/>
        </w:rPr>
        <w:t>observacional, descriptivo y multicéntrico.</w:t>
      </w:r>
    </w:p>
    <w:p w14:paraId="411BF20C"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68218C4D" w14:textId="77777777" w:rsidR="002B7539" w:rsidRPr="00A72A65" w:rsidRDefault="00A04F37" w:rsidP="00A72A65">
      <w:pPr>
        <w:spacing w:line="360" w:lineRule="auto"/>
        <w:jc w:val="both"/>
        <w:rPr>
          <w:rFonts w:asciiTheme="majorHAnsi" w:hAnsiTheme="majorHAnsi" w:cstheme="majorHAnsi"/>
          <w:b/>
          <w:bCs/>
          <w:color w:val="000000"/>
          <w:sz w:val="20"/>
          <w:szCs w:val="20"/>
          <w:lang w:val="es-ES"/>
        </w:rPr>
      </w:pPr>
      <w:r w:rsidRPr="00A72A65">
        <w:rPr>
          <w:rFonts w:asciiTheme="majorHAnsi" w:hAnsiTheme="majorHAnsi" w:cstheme="majorHAnsi"/>
          <w:b/>
          <w:bCs/>
          <w:color w:val="000000"/>
          <w:sz w:val="20"/>
          <w:szCs w:val="20"/>
          <w:lang w:val="es-ES"/>
        </w:rPr>
        <w:t xml:space="preserve">3.2. </w:t>
      </w:r>
      <w:r w:rsidRPr="00A72A65">
        <w:rPr>
          <w:rFonts w:asciiTheme="majorHAnsi" w:hAnsiTheme="majorHAnsi" w:cstheme="majorHAnsi"/>
          <w:b/>
          <w:bCs/>
          <w:color w:val="000000"/>
          <w:sz w:val="20"/>
          <w:szCs w:val="20"/>
          <w:lang w:val="es-ES"/>
        </w:rPr>
        <w:tab/>
        <w:t>Población.</w:t>
      </w:r>
    </w:p>
    <w:p w14:paraId="6A104CEC" w14:textId="77777777" w:rsidR="002B7539" w:rsidRPr="00A72A65" w:rsidRDefault="002B7539" w:rsidP="00A72A65">
      <w:pPr>
        <w:spacing w:line="360" w:lineRule="auto"/>
        <w:ind w:left="708" w:hanging="708"/>
        <w:jc w:val="both"/>
        <w:rPr>
          <w:rFonts w:asciiTheme="majorHAnsi" w:hAnsiTheme="majorHAnsi" w:cstheme="majorHAnsi"/>
          <w:color w:val="000000"/>
          <w:sz w:val="20"/>
          <w:szCs w:val="20"/>
          <w:lang w:val="es-ES"/>
        </w:rPr>
      </w:pPr>
    </w:p>
    <w:p w14:paraId="0E63E99B" w14:textId="77777777" w:rsidR="002B7539" w:rsidRPr="00A72A65" w:rsidRDefault="00A04F37" w:rsidP="00A72A65">
      <w:pPr>
        <w:pStyle w:val="Prrafodelista"/>
        <w:spacing w:line="360" w:lineRule="auto"/>
        <w:ind w:left="760"/>
        <w:jc w:val="both"/>
        <w:rPr>
          <w:rFonts w:asciiTheme="majorHAnsi" w:hAnsiTheme="majorHAnsi" w:cstheme="majorHAnsi"/>
          <w:sz w:val="20"/>
          <w:szCs w:val="20"/>
          <w:lang w:val="es-ES"/>
        </w:rPr>
      </w:pPr>
      <w:r w:rsidRPr="00A72A65">
        <w:rPr>
          <w:rFonts w:asciiTheme="majorHAnsi" w:hAnsiTheme="majorHAnsi" w:cstheme="majorHAnsi"/>
          <w:color w:val="000000"/>
          <w:sz w:val="20"/>
          <w:szCs w:val="20"/>
          <w:lang w:val="es-ES"/>
        </w:rPr>
        <w:t>Pacientes con LLC/LLCP diagnosticados o tratados entre 2010 y 2020 en los países que conformen el grupo GELL.</w:t>
      </w:r>
      <w:r w:rsidRPr="00A72A65">
        <w:rPr>
          <w:rFonts w:asciiTheme="majorHAnsi" w:hAnsiTheme="majorHAnsi" w:cstheme="majorHAnsi"/>
          <w:sz w:val="20"/>
          <w:szCs w:val="20"/>
          <w:lang w:val="es-ES"/>
        </w:rPr>
        <w:t xml:space="preserve"> </w:t>
      </w:r>
    </w:p>
    <w:p w14:paraId="2A059A0E"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33F3CE26" w14:textId="77777777" w:rsidR="002B7539" w:rsidRPr="00A72A65" w:rsidRDefault="00A04F37" w:rsidP="00A72A65">
      <w:pPr>
        <w:spacing w:line="360" w:lineRule="auto"/>
        <w:jc w:val="both"/>
        <w:rPr>
          <w:rFonts w:asciiTheme="majorHAnsi" w:hAnsiTheme="majorHAnsi" w:cstheme="majorHAnsi"/>
          <w:b/>
          <w:bCs/>
          <w:color w:val="000000"/>
          <w:sz w:val="20"/>
          <w:szCs w:val="20"/>
          <w:lang w:val="es-ES"/>
        </w:rPr>
      </w:pPr>
      <w:r w:rsidRPr="00A72A65">
        <w:rPr>
          <w:rFonts w:asciiTheme="majorHAnsi" w:hAnsiTheme="majorHAnsi" w:cstheme="majorHAnsi"/>
          <w:b/>
          <w:bCs/>
          <w:color w:val="000000"/>
          <w:sz w:val="20"/>
          <w:szCs w:val="20"/>
          <w:lang w:val="es-ES"/>
        </w:rPr>
        <w:t xml:space="preserve">3.3        Criterios de selección. </w:t>
      </w:r>
    </w:p>
    <w:p w14:paraId="2B385116" w14:textId="77777777" w:rsidR="002B7539" w:rsidRPr="00A72A65" w:rsidRDefault="002B7539" w:rsidP="00A72A65">
      <w:pPr>
        <w:spacing w:line="360" w:lineRule="auto"/>
        <w:jc w:val="both"/>
        <w:rPr>
          <w:rFonts w:asciiTheme="majorHAnsi" w:hAnsiTheme="majorHAnsi" w:cstheme="majorHAnsi"/>
          <w:b/>
          <w:bCs/>
          <w:color w:val="000000"/>
          <w:sz w:val="20"/>
          <w:szCs w:val="20"/>
          <w:lang w:val="es-ES"/>
        </w:rPr>
      </w:pPr>
    </w:p>
    <w:p w14:paraId="2A8B8532" w14:textId="77777777" w:rsidR="002B7539" w:rsidRPr="00A72A65" w:rsidRDefault="00A04F37" w:rsidP="00A72A65">
      <w:pPr>
        <w:pStyle w:val="Prrafodelista"/>
        <w:numPr>
          <w:ilvl w:val="2"/>
          <w:numId w:val="6"/>
        </w:numPr>
        <w:spacing w:line="360" w:lineRule="auto"/>
        <w:jc w:val="both"/>
        <w:rPr>
          <w:rFonts w:asciiTheme="majorHAnsi" w:hAnsiTheme="majorHAnsi" w:cstheme="majorHAnsi"/>
          <w:b/>
          <w:bCs/>
          <w:color w:val="000000"/>
          <w:sz w:val="20"/>
          <w:szCs w:val="20"/>
          <w:lang w:val="es-ES"/>
        </w:rPr>
      </w:pPr>
      <w:r w:rsidRPr="00A72A65">
        <w:rPr>
          <w:rFonts w:asciiTheme="majorHAnsi" w:hAnsiTheme="majorHAnsi" w:cstheme="majorHAnsi"/>
          <w:b/>
          <w:bCs/>
          <w:color w:val="000000"/>
          <w:sz w:val="20"/>
          <w:szCs w:val="20"/>
          <w:lang w:val="es-ES"/>
        </w:rPr>
        <w:t>Criterios de inclusión.</w:t>
      </w:r>
    </w:p>
    <w:p w14:paraId="45819E97"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18ADCF04" w14:textId="77777777" w:rsidR="002B7539" w:rsidRPr="00A72A65" w:rsidRDefault="00A04F37" w:rsidP="00A72A65">
      <w:pPr>
        <w:pStyle w:val="Prrafodelista"/>
        <w:numPr>
          <w:ilvl w:val="0"/>
          <w:numId w:val="4"/>
        </w:numPr>
        <w:suppressAutoHyphens/>
        <w:spacing w:line="360" w:lineRule="auto"/>
        <w:ind w:left="1068"/>
        <w:jc w:val="both"/>
        <w:rPr>
          <w:rFonts w:asciiTheme="majorHAnsi" w:hAnsiTheme="majorHAnsi" w:cstheme="majorHAnsi"/>
          <w:sz w:val="20"/>
          <w:szCs w:val="20"/>
          <w:lang w:val="es-ES"/>
        </w:rPr>
      </w:pPr>
      <w:r w:rsidRPr="00A72A65">
        <w:rPr>
          <w:rFonts w:asciiTheme="majorHAnsi" w:hAnsiTheme="majorHAnsi" w:cstheme="majorHAnsi"/>
          <w:sz w:val="20"/>
          <w:szCs w:val="20"/>
          <w:lang w:val="es-ES"/>
        </w:rPr>
        <w:t>Pacientes con 18 años o más.</w:t>
      </w:r>
    </w:p>
    <w:p w14:paraId="5EEB7CDB" w14:textId="77777777" w:rsidR="002B7539" w:rsidRPr="00A72A65" w:rsidRDefault="00A04F37" w:rsidP="00A72A65">
      <w:pPr>
        <w:pStyle w:val="Prrafodelista"/>
        <w:numPr>
          <w:ilvl w:val="0"/>
          <w:numId w:val="4"/>
        </w:numPr>
        <w:suppressAutoHyphens/>
        <w:spacing w:line="360" w:lineRule="auto"/>
        <w:ind w:left="1068"/>
        <w:jc w:val="both"/>
        <w:rPr>
          <w:rFonts w:asciiTheme="majorHAnsi" w:hAnsiTheme="majorHAnsi" w:cstheme="majorHAnsi"/>
          <w:sz w:val="20"/>
          <w:szCs w:val="20"/>
          <w:lang w:val="es-ES"/>
        </w:rPr>
      </w:pPr>
      <w:r w:rsidRPr="00A72A65">
        <w:rPr>
          <w:rFonts w:asciiTheme="majorHAnsi" w:hAnsiTheme="majorHAnsi" w:cstheme="majorHAnsi"/>
          <w:sz w:val="20"/>
          <w:szCs w:val="20"/>
          <w:lang w:val="es-ES"/>
        </w:rPr>
        <w:lastRenderedPageBreak/>
        <w:t>Diagnóstico de Leucemia Linfoide Crónica / Linfoma Linfocitico de Células Pequeñas según criterio del iwCLL, durante el periodo 2010 al 2020.</w:t>
      </w:r>
    </w:p>
    <w:p w14:paraId="0B21C470" w14:textId="77777777" w:rsidR="002B7539" w:rsidRPr="00A72A65" w:rsidRDefault="00A04F37" w:rsidP="00A72A65">
      <w:pPr>
        <w:pStyle w:val="Prrafodelista"/>
        <w:numPr>
          <w:ilvl w:val="0"/>
          <w:numId w:val="4"/>
        </w:numPr>
        <w:suppressAutoHyphens/>
        <w:spacing w:line="360" w:lineRule="auto"/>
        <w:ind w:left="1068"/>
        <w:jc w:val="both"/>
        <w:rPr>
          <w:rFonts w:asciiTheme="majorHAnsi" w:hAnsiTheme="majorHAnsi" w:cstheme="majorHAnsi"/>
          <w:sz w:val="20"/>
          <w:szCs w:val="20"/>
          <w:lang w:val="es-ES"/>
        </w:rPr>
      </w:pPr>
      <w:r w:rsidRPr="00A72A65">
        <w:rPr>
          <w:rFonts w:asciiTheme="majorHAnsi" w:hAnsiTheme="majorHAnsi" w:cstheme="majorHAnsi"/>
          <w:sz w:val="20"/>
          <w:szCs w:val="20"/>
          <w:lang w:val="es-ES"/>
        </w:rPr>
        <w:t>Pacientes con debut previo a 2010 que recibieron su primer tratamiento a partir de 2010.</w:t>
      </w:r>
    </w:p>
    <w:p w14:paraId="2979BF3A"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3EA9D2F0" w14:textId="77777777" w:rsidR="002B7539" w:rsidRPr="00A72A65" w:rsidRDefault="00A04F37" w:rsidP="00A72A65">
      <w:pPr>
        <w:spacing w:line="360" w:lineRule="auto"/>
        <w:ind w:firstLine="708"/>
        <w:jc w:val="both"/>
        <w:rPr>
          <w:rFonts w:asciiTheme="majorHAnsi" w:hAnsiTheme="majorHAnsi" w:cstheme="majorHAnsi"/>
          <w:b/>
          <w:bCs/>
          <w:color w:val="000000"/>
          <w:sz w:val="20"/>
          <w:szCs w:val="20"/>
          <w:lang w:val="es-ES"/>
        </w:rPr>
      </w:pPr>
      <w:r w:rsidRPr="00A72A65">
        <w:rPr>
          <w:rFonts w:asciiTheme="majorHAnsi" w:hAnsiTheme="majorHAnsi" w:cstheme="majorHAnsi"/>
          <w:b/>
          <w:bCs/>
          <w:color w:val="000000"/>
          <w:sz w:val="20"/>
          <w:szCs w:val="20"/>
          <w:lang w:val="es-ES"/>
        </w:rPr>
        <w:t>3.3.2 Criterios de exclusión.</w:t>
      </w:r>
    </w:p>
    <w:p w14:paraId="140E03E0" w14:textId="77777777" w:rsidR="002B7539" w:rsidRPr="00A72A65" w:rsidRDefault="002B7539" w:rsidP="00A72A65">
      <w:pPr>
        <w:pStyle w:val="Prrafodelista"/>
        <w:suppressAutoHyphens/>
        <w:spacing w:line="360" w:lineRule="auto"/>
        <w:ind w:left="1068"/>
        <w:jc w:val="both"/>
        <w:rPr>
          <w:rFonts w:asciiTheme="majorHAnsi" w:hAnsiTheme="majorHAnsi" w:cstheme="majorHAnsi"/>
          <w:iCs/>
          <w:sz w:val="20"/>
          <w:szCs w:val="20"/>
          <w:lang w:val="es-ES"/>
        </w:rPr>
      </w:pPr>
    </w:p>
    <w:p w14:paraId="78B7752C" w14:textId="77777777" w:rsidR="002B7539" w:rsidRPr="00A72A65" w:rsidRDefault="00A04F37" w:rsidP="00A72A65">
      <w:pPr>
        <w:pStyle w:val="Prrafodelista"/>
        <w:numPr>
          <w:ilvl w:val="0"/>
          <w:numId w:val="3"/>
        </w:numPr>
        <w:suppressAutoHyphens/>
        <w:spacing w:line="360" w:lineRule="auto"/>
        <w:ind w:left="1068"/>
        <w:jc w:val="both"/>
        <w:rPr>
          <w:rFonts w:asciiTheme="majorHAnsi" w:hAnsiTheme="majorHAnsi" w:cstheme="majorHAnsi"/>
          <w:iCs/>
          <w:sz w:val="20"/>
          <w:szCs w:val="20"/>
          <w:lang w:val="es-ES"/>
        </w:rPr>
      </w:pPr>
      <w:r w:rsidRPr="00A72A65">
        <w:rPr>
          <w:rFonts w:asciiTheme="majorHAnsi" w:hAnsiTheme="majorHAnsi" w:cstheme="majorHAnsi"/>
          <w:iCs/>
          <w:sz w:val="20"/>
          <w:szCs w:val="20"/>
          <w:lang w:val="es-ES"/>
        </w:rPr>
        <w:t xml:space="preserve">Pacientes tratados en ensayos clínicos. </w:t>
      </w:r>
    </w:p>
    <w:p w14:paraId="31172028" w14:textId="77777777" w:rsidR="002B7539" w:rsidRPr="00A72A65" w:rsidRDefault="002B7539" w:rsidP="00A72A65">
      <w:pPr>
        <w:suppressAutoHyphens/>
        <w:spacing w:line="360" w:lineRule="auto"/>
        <w:jc w:val="both"/>
        <w:rPr>
          <w:rFonts w:asciiTheme="majorHAnsi" w:hAnsiTheme="majorHAnsi" w:cstheme="majorHAnsi"/>
          <w:iCs/>
          <w:sz w:val="20"/>
          <w:szCs w:val="20"/>
          <w:lang w:val="es-ES"/>
        </w:rPr>
      </w:pPr>
    </w:p>
    <w:p w14:paraId="5F396C15" w14:textId="77777777" w:rsidR="002B7539" w:rsidRPr="00A72A65" w:rsidRDefault="002B7539" w:rsidP="00A72A65">
      <w:pPr>
        <w:spacing w:line="360" w:lineRule="auto"/>
        <w:jc w:val="both"/>
        <w:rPr>
          <w:rFonts w:asciiTheme="majorHAnsi" w:hAnsiTheme="majorHAnsi" w:cstheme="majorHAnsi"/>
          <w:b/>
          <w:bCs/>
          <w:color w:val="000000"/>
          <w:sz w:val="20"/>
          <w:szCs w:val="20"/>
          <w:lang w:val="es-ES"/>
        </w:rPr>
      </w:pPr>
    </w:p>
    <w:p w14:paraId="38F43B65" w14:textId="77777777"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b/>
          <w:bCs/>
          <w:color w:val="000000"/>
          <w:sz w:val="20"/>
          <w:szCs w:val="20"/>
          <w:lang w:val="es-ES"/>
        </w:rPr>
        <w:t>3.4.</w:t>
      </w:r>
      <w:r w:rsidRPr="00A72A65">
        <w:rPr>
          <w:rFonts w:asciiTheme="majorHAnsi" w:hAnsiTheme="majorHAnsi" w:cstheme="majorHAnsi"/>
          <w:b/>
          <w:bCs/>
          <w:color w:val="000000"/>
          <w:sz w:val="20"/>
          <w:szCs w:val="20"/>
          <w:lang w:val="es-ES"/>
        </w:rPr>
        <w:tab/>
        <w:t>Descripción de variables.</w:t>
      </w:r>
      <w:r w:rsidRPr="00A72A65">
        <w:rPr>
          <w:rFonts w:asciiTheme="majorHAnsi" w:hAnsiTheme="majorHAnsi" w:cstheme="majorHAnsi"/>
          <w:color w:val="000000"/>
          <w:sz w:val="20"/>
          <w:szCs w:val="20"/>
          <w:lang w:val="es-ES"/>
        </w:rPr>
        <w:t xml:space="preserve"> </w:t>
      </w:r>
    </w:p>
    <w:p w14:paraId="0C975C66"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25C06C34" w14:textId="38395684" w:rsidR="002B7539" w:rsidRPr="00A72A65" w:rsidRDefault="00A04F37" w:rsidP="00A72A65">
      <w:pPr>
        <w:spacing w:line="360" w:lineRule="auto"/>
        <w:jc w:val="both"/>
        <w:rPr>
          <w:rFonts w:asciiTheme="majorHAnsi" w:hAnsiTheme="majorHAnsi" w:cstheme="majorHAnsi"/>
        </w:rPr>
      </w:pPr>
      <w:r w:rsidRPr="00A72A65">
        <w:rPr>
          <w:rFonts w:asciiTheme="majorHAnsi" w:hAnsiTheme="majorHAnsi" w:cstheme="majorHAnsi"/>
          <w:color w:val="000000"/>
          <w:sz w:val="20"/>
          <w:szCs w:val="20"/>
          <w:lang w:val="es-ES"/>
        </w:rPr>
        <w:t xml:space="preserve">Se analizarán variables referidas a las características de la enfermedad al debut </w:t>
      </w:r>
      <w:r w:rsidR="006B64A1" w:rsidRPr="00A72A65">
        <w:rPr>
          <w:rFonts w:asciiTheme="majorHAnsi" w:hAnsiTheme="majorHAnsi" w:cstheme="majorHAnsi"/>
          <w:color w:val="000000"/>
          <w:sz w:val="20"/>
          <w:szCs w:val="20"/>
          <w:lang w:val="es-ES"/>
        </w:rPr>
        <w:t>y su</w:t>
      </w:r>
      <w:r w:rsidRPr="00A72A65">
        <w:rPr>
          <w:rFonts w:asciiTheme="majorHAnsi" w:hAnsiTheme="majorHAnsi" w:cstheme="majorHAnsi"/>
          <w:color w:val="000000"/>
          <w:sz w:val="20"/>
          <w:szCs w:val="20"/>
          <w:lang w:val="es-ES"/>
        </w:rPr>
        <w:t xml:space="preserve"> evolución. Se incluirán las siguientes variables de interés: País, Institución (pública o privada), raza, edad, sexo, ECOG, CIRS, fecha de debut, forma de diagnóstico (estudio de sangre periférica, médula ósea o ganglio linfático), estadificación según escalas de RAI y Binet, expresión de CD38 por citometría de flujo, valor de LDH, valor de B2microglobulina, presencia de componente monoclonal, dosificación de IgG, estudio citogenético convencional, FISH y búsqueda de mutación del gen p53 (en diferentes etapas de la evolución de la enfermedad), estado mutacional de IgH</w:t>
      </w:r>
      <w:r w:rsidR="006B64A1">
        <w:rPr>
          <w:rFonts w:asciiTheme="majorHAnsi" w:hAnsiTheme="majorHAnsi" w:cstheme="majorHAnsi"/>
          <w:color w:val="000000"/>
          <w:sz w:val="20"/>
          <w:szCs w:val="20"/>
          <w:lang w:val="es-ES"/>
        </w:rPr>
        <w:t>V</w:t>
      </w:r>
      <w:r w:rsidRPr="00A72A65">
        <w:rPr>
          <w:rFonts w:asciiTheme="majorHAnsi" w:hAnsiTheme="majorHAnsi" w:cstheme="majorHAnsi"/>
          <w:color w:val="000000"/>
          <w:sz w:val="20"/>
          <w:szCs w:val="20"/>
          <w:lang w:val="es-ES"/>
        </w:rPr>
        <w:t>,  test de Coombs, manejo al debut. Variables relacionadas al/los  tratamientos recibidos: tratamiento, criterio para inicio del mismo, fecha de inicio de tratamiento, número de series, respuesta al tratamiento, fecha de respuesta, necesidad de disminución de dosis de tratamiento, necesidad de suspensión de tratamiento y causa progresión y fecha de la misma, diagnóstico de Síndrome de Ritcher, estado del paciente, fecha de ultimo control o muerte, causa de muerte, desarrollo de segundas neoplasia, tipo y fecha de diagnóstico de las mismas.</w:t>
      </w:r>
    </w:p>
    <w:p w14:paraId="6203D4BD"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48054C4C" w14:textId="77777777" w:rsidR="002B7539" w:rsidRPr="00A72A65" w:rsidRDefault="00A04F37" w:rsidP="00A72A65">
      <w:pPr>
        <w:spacing w:line="360" w:lineRule="auto"/>
        <w:jc w:val="both"/>
        <w:rPr>
          <w:rFonts w:asciiTheme="majorHAnsi" w:hAnsiTheme="majorHAnsi" w:cstheme="majorHAnsi"/>
          <w:b/>
          <w:bCs/>
          <w:color w:val="000000"/>
          <w:sz w:val="20"/>
          <w:szCs w:val="20"/>
          <w:lang w:val="es-ES"/>
        </w:rPr>
      </w:pPr>
      <w:r w:rsidRPr="00A72A65">
        <w:rPr>
          <w:rFonts w:asciiTheme="majorHAnsi" w:hAnsiTheme="majorHAnsi" w:cstheme="majorHAnsi"/>
          <w:b/>
          <w:bCs/>
          <w:color w:val="000000"/>
          <w:sz w:val="20"/>
          <w:szCs w:val="20"/>
          <w:lang w:val="es-ES"/>
        </w:rPr>
        <w:t>3.5. Procedimientos y técnicas de recolección de información.</w:t>
      </w:r>
    </w:p>
    <w:p w14:paraId="0E4CE032"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364196D0" w14:textId="70E166C1" w:rsidR="002B7539" w:rsidRPr="00A72A65" w:rsidRDefault="00A04F37" w:rsidP="00A72A65">
      <w:pPr>
        <w:pStyle w:val="Estilo2"/>
        <w:tabs>
          <w:tab w:val="left" w:pos="567"/>
        </w:tabs>
        <w:rPr>
          <w:rFonts w:asciiTheme="majorHAnsi" w:hAnsiTheme="majorHAnsi" w:cstheme="majorHAnsi"/>
          <w:b w:val="0"/>
          <w:color w:val="000000" w:themeColor="text1"/>
          <w:sz w:val="20"/>
          <w:szCs w:val="20"/>
          <w:lang w:val="es-ES"/>
        </w:rPr>
      </w:pPr>
      <w:r w:rsidRPr="00A72A65">
        <w:rPr>
          <w:rFonts w:asciiTheme="majorHAnsi" w:hAnsiTheme="majorHAnsi" w:cstheme="majorHAnsi"/>
          <w:b w:val="0"/>
          <w:color w:val="000000" w:themeColor="text1"/>
          <w:sz w:val="20"/>
          <w:szCs w:val="20"/>
          <w:lang w:val="es-ES"/>
        </w:rPr>
        <w:t xml:space="preserve">Para el presente estudio se diseñó una ficha de recolección de datos estructurada (Anexo 1.1). Esta será llenada por los investigadores tomando como fuente primaria de datos la historia clínica de cada paciente. </w:t>
      </w:r>
    </w:p>
    <w:p w14:paraId="0D436954" w14:textId="5155D8A1" w:rsidR="002B7539" w:rsidRPr="00A72A65" w:rsidRDefault="00A04F37" w:rsidP="00A72A65">
      <w:pPr>
        <w:pStyle w:val="Estilo2"/>
        <w:tabs>
          <w:tab w:val="left" w:pos="567"/>
        </w:tabs>
        <w:rPr>
          <w:rFonts w:asciiTheme="majorHAnsi" w:hAnsiTheme="majorHAnsi" w:cstheme="majorHAnsi"/>
          <w:b w:val="0"/>
          <w:color w:val="000000" w:themeColor="text1"/>
          <w:sz w:val="20"/>
          <w:szCs w:val="20"/>
          <w:lang w:val="es-ES"/>
        </w:rPr>
      </w:pPr>
      <w:r w:rsidRPr="00A72A65">
        <w:rPr>
          <w:rFonts w:asciiTheme="majorHAnsi" w:hAnsiTheme="majorHAnsi" w:cstheme="majorHAnsi"/>
          <w:b w:val="0"/>
          <w:color w:val="000000" w:themeColor="text1"/>
          <w:sz w:val="20"/>
          <w:szCs w:val="20"/>
          <w:lang w:val="es-ES"/>
        </w:rPr>
        <w:t xml:space="preserve">Toda la información será registrada en esta hoja Excel. La identificación de cada paciente será codificada por el hematólogo del centro donde se asiste el paciente, previo a la incorporación a la planilla Excel. La codificación se hará con un código país, más un código de institución más un número correlativo de 1 en adelante para cada paciente a fin de garantizar la confidencialidad de la información. Una vez controlada la calidad de los datos se procederá a realizar un análisis descriptivo de nuestros resultados. </w:t>
      </w:r>
    </w:p>
    <w:p w14:paraId="6E2C8518"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5A436985" w14:textId="77777777" w:rsidR="006B64A1" w:rsidRDefault="006B64A1" w:rsidP="00A72A65">
      <w:pPr>
        <w:spacing w:line="360" w:lineRule="auto"/>
        <w:jc w:val="both"/>
        <w:rPr>
          <w:rFonts w:asciiTheme="majorHAnsi" w:hAnsiTheme="majorHAnsi" w:cstheme="majorHAnsi"/>
          <w:b/>
          <w:bCs/>
          <w:color w:val="000000"/>
          <w:sz w:val="20"/>
          <w:szCs w:val="20"/>
          <w:lang w:val="es-ES"/>
        </w:rPr>
      </w:pPr>
    </w:p>
    <w:p w14:paraId="52AA14D3" w14:textId="77777777" w:rsidR="006B64A1" w:rsidRDefault="006B64A1" w:rsidP="00A72A65">
      <w:pPr>
        <w:spacing w:line="360" w:lineRule="auto"/>
        <w:jc w:val="both"/>
        <w:rPr>
          <w:rFonts w:asciiTheme="majorHAnsi" w:hAnsiTheme="majorHAnsi" w:cstheme="majorHAnsi"/>
          <w:b/>
          <w:bCs/>
          <w:color w:val="000000"/>
          <w:sz w:val="20"/>
          <w:szCs w:val="20"/>
          <w:lang w:val="es-ES"/>
        </w:rPr>
      </w:pPr>
    </w:p>
    <w:p w14:paraId="7B2AFF80" w14:textId="77777777" w:rsidR="006B64A1" w:rsidRDefault="006B64A1" w:rsidP="00A72A65">
      <w:pPr>
        <w:spacing w:line="360" w:lineRule="auto"/>
        <w:jc w:val="both"/>
        <w:rPr>
          <w:rFonts w:asciiTheme="majorHAnsi" w:hAnsiTheme="majorHAnsi" w:cstheme="majorHAnsi"/>
          <w:b/>
          <w:bCs/>
          <w:color w:val="000000"/>
          <w:sz w:val="20"/>
          <w:szCs w:val="20"/>
          <w:lang w:val="es-ES"/>
        </w:rPr>
      </w:pPr>
    </w:p>
    <w:p w14:paraId="6D8FBC24" w14:textId="77777777" w:rsidR="006B64A1" w:rsidRDefault="006B64A1" w:rsidP="00A72A65">
      <w:pPr>
        <w:spacing w:line="360" w:lineRule="auto"/>
        <w:jc w:val="both"/>
        <w:rPr>
          <w:rFonts w:asciiTheme="majorHAnsi" w:hAnsiTheme="majorHAnsi" w:cstheme="majorHAnsi"/>
          <w:b/>
          <w:bCs/>
          <w:color w:val="000000"/>
          <w:sz w:val="20"/>
          <w:szCs w:val="20"/>
          <w:lang w:val="es-ES"/>
        </w:rPr>
      </w:pPr>
    </w:p>
    <w:p w14:paraId="3CFAD1CB" w14:textId="3B98BCCC" w:rsidR="002B7539" w:rsidRPr="00A72A65" w:rsidRDefault="00A04F37" w:rsidP="00A72A65">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b/>
          <w:bCs/>
          <w:color w:val="000000"/>
          <w:sz w:val="20"/>
          <w:szCs w:val="20"/>
          <w:lang w:val="es-ES"/>
        </w:rPr>
        <w:lastRenderedPageBreak/>
        <w:t>3.6. Plan de análisis</w:t>
      </w:r>
      <w:r w:rsidRPr="00A72A65">
        <w:rPr>
          <w:rFonts w:asciiTheme="majorHAnsi" w:hAnsiTheme="majorHAnsi" w:cstheme="majorHAnsi"/>
          <w:color w:val="000000"/>
          <w:sz w:val="20"/>
          <w:szCs w:val="20"/>
          <w:lang w:val="es-ES"/>
        </w:rPr>
        <w:t>.</w:t>
      </w:r>
    </w:p>
    <w:p w14:paraId="7D4F3E1F"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640F223F" w14:textId="3E31AFB5" w:rsidR="002B7539" w:rsidRPr="00A72A65" w:rsidRDefault="00A04F37" w:rsidP="00A72A65">
      <w:pPr>
        <w:pStyle w:val="Estilo2"/>
        <w:tabs>
          <w:tab w:val="left" w:pos="567"/>
        </w:tabs>
        <w:rPr>
          <w:rFonts w:asciiTheme="majorHAnsi" w:hAnsiTheme="majorHAnsi" w:cstheme="majorHAnsi"/>
          <w:b w:val="0"/>
          <w:color w:val="000000" w:themeColor="text1"/>
          <w:sz w:val="20"/>
          <w:szCs w:val="20"/>
          <w:lang w:val="es-ES"/>
        </w:rPr>
      </w:pPr>
      <w:r w:rsidRPr="00A72A65">
        <w:rPr>
          <w:rFonts w:asciiTheme="majorHAnsi" w:hAnsiTheme="majorHAnsi" w:cstheme="majorHAnsi"/>
          <w:b w:val="0"/>
          <w:color w:val="000000" w:themeColor="text1"/>
          <w:sz w:val="20"/>
          <w:szCs w:val="20"/>
          <w:lang w:val="es-ES"/>
        </w:rPr>
        <w:t xml:space="preserve">Las variables cualitativas serán resumidas según su frecuencia relativa y frecuencia absoluta, mientras que las variables cuantitativas serán resumidas según su media ± desviación estándar. </w:t>
      </w:r>
    </w:p>
    <w:p w14:paraId="33A1B5CF" w14:textId="77777777" w:rsidR="002B7539" w:rsidRPr="00A72A65" w:rsidRDefault="00A04F37" w:rsidP="006B64A1">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sz w:val="20"/>
          <w:szCs w:val="20"/>
          <w:lang w:val="es-ES"/>
        </w:rPr>
        <w:t>Se realizará un análisis bivariado de los datos. Para tal efecto, haciendo uso de un modelo de regresión de Cox se estimarán funciones de sobrevida e intervalos de confianza a los 95% para los expuestos y no expuestos a la mortalidad. Se estimará la sobrevida, sobrevida libre de progresión, tiempo al próximo tratamiento medios a través de la curva de Kaplan Meier. En todos los casos los estadísticos serán reportados con un intervalo de confianza al 95%.</w:t>
      </w:r>
    </w:p>
    <w:p w14:paraId="5DC8A7C1" w14:textId="77777777" w:rsidR="002B7539" w:rsidRPr="00A72A65" w:rsidRDefault="00A04F37" w:rsidP="007E4586">
      <w:pPr>
        <w:spacing w:line="360" w:lineRule="auto"/>
        <w:jc w:val="both"/>
        <w:rPr>
          <w:rFonts w:asciiTheme="majorHAnsi" w:hAnsiTheme="majorHAnsi" w:cstheme="majorHAnsi"/>
          <w:color w:val="000000"/>
          <w:sz w:val="20"/>
          <w:szCs w:val="20"/>
          <w:lang w:val="es-ES"/>
        </w:rPr>
      </w:pPr>
      <w:r w:rsidRPr="00A72A65">
        <w:rPr>
          <w:rFonts w:asciiTheme="majorHAnsi" w:hAnsiTheme="majorHAnsi" w:cstheme="majorHAnsi"/>
          <w:sz w:val="20"/>
          <w:szCs w:val="20"/>
          <w:lang w:val="es-ES"/>
        </w:rPr>
        <w:t xml:space="preserve">El análisis de los datos se realizará utilizando el paquete estadístico SPSS. </w:t>
      </w:r>
    </w:p>
    <w:p w14:paraId="75D883FB"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0E4C3178" w14:textId="77777777" w:rsidR="002B7539" w:rsidRPr="00A72A65" w:rsidRDefault="00A04F37" w:rsidP="00A72A65">
      <w:pPr>
        <w:spacing w:line="360" w:lineRule="auto"/>
        <w:jc w:val="both"/>
        <w:rPr>
          <w:rFonts w:asciiTheme="majorHAnsi" w:hAnsiTheme="majorHAnsi" w:cstheme="majorHAnsi"/>
          <w:b/>
          <w:bCs/>
          <w:color w:val="000000"/>
          <w:sz w:val="20"/>
          <w:szCs w:val="20"/>
          <w:lang w:val="es-ES"/>
        </w:rPr>
      </w:pPr>
      <w:r w:rsidRPr="00A72A65">
        <w:rPr>
          <w:rFonts w:asciiTheme="majorHAnsi" w:hAnsiTheme="majorHAnsi" w:cstheme="majorHAnsi"/>
          <w:b/>
          <w:bCs/>
          <w:color w:val="000000"/>
          <w:sz w:val="20"/>
          <w:szCs w:val="20"/>
          <w:lang w:val="es-ES"/>
        </w:rPr>
        <w:t>3.7. Limitaciones y viabilidad.</w:t>
      </w:r>
    </w:p>
    <w:p w14:paraId="1C1270AF" w14:textId="77777777" w:rsidR="002B7539" w:rsidRPr="00A72A65" w:rsidRDefault="002B7539" w:rsidP="00A72A65">
      <w:pPr>
        <w:spacing w:line="360" w:lineRule="auto"/>
        <w:jc w:val="both"/>
        <w:rPr>
          <w:rFonts w:asciiTheme="majorHAnsi" w:hAnsiTheme="majorHAnsi" w:cstheme="majorHAnsi"/>
          <w:color w:val="000000"/>
          <w:sz w:val="20"/>
          <w:szCs w:val="20"/>
          <w:lang w:val="es-ES"/>
        </w:rPr>
      </w:pPr>
    </w:p>
    <w:p w14:paraId="0A79A3DF" w14:textId="77777777" w:rsidR="002B7539" w:rsidRPr="00A72A65" w:rsidRDefault="00A04F37" w:rsidP="007E4586">
      <w:pPr>
        <w:spacing w:line="360" w:lineRule="auto"/>
        <w:jc w:val="both"/>
        <w:rPr>
          <w:rFonts w:asciiTheme="majorHAnsi" w:hAnsiTheme="majorHAnsi" w:cstheme="majorHAnsi"/>
          <w:sz w:val="20"/>
          <w:szCs w:val="20"/>
          <w:lang w:val="es-ES"/>
        </w:rPr>
      </w:pPr>
      <w:r w:rsidRPr="00A72A65">
        <w:rPr>
          <w:rFonts w:asciiTheme="majorHAnsi" w:hAnsiTheme="majorHAnsi" w:cstheme="majorHAnsi"/>
          <w:sz w:val="20"/>
          <w:szCs w:val="20"/>
          <w:lang w:val="es-ES"/>
        </w:rPr>
        <w:t>Una limitación de este estudio es su naturaleza retrospectiva, donde al trabajar las historias clínicas, los datos pueden estar incompletos.</w:t>
      </w:r>
    </w:p>
    <w:p w14:paraId="7790619F" w14:textId="77777777" w:rsidR="002B7539" w:rsidRPr="00A72A65" w:rsidRDefault="002B7539" w:rsidP="00A72A65">
      <w:pPr>
        <w:spacing w:line="360" w:lineRule="auto"/>
        <w:ind w:left="708"/>
        <w:jc w:val="both"/>
        <w:rPr>
          <w:rFonts w:asciiTheme="majorHAnsi" w:hAnsiTheme="majorHAnsi" w:cstheme="majorHAnsi"/>
          <w:sz w:val="20"/>
          <w:szCs w:val="20"/>
          <w:lang w:val="es-ES"/>
        </w:rPr>
      </w:pPr>
    </w:p>
    <w:p w14:paraId="4716F74E" w14:textId="3E98FCF5" w:rsidR="002B7539" w:rsidRDefault="00A04F37" w:rsidP="00A72A65">
      <w:pPr>
        <w:spacing w:line="360" w:lineRule="auto"/>
        <w:jc w:val="both"/>
        <w:rPr>
          <w:rFonts w:asciiTheme="majorHAnsi" w:hAnsiTheme="majorHAnsi" w:cstheme="majorHAnsi"/>
          <w:sz w:val="20"/>
          <w:szCs w:val="20"/>
          <w:lang w:val="es-ES"/>
        </w:rPr>
      </w:pPr>
      <w:r w:rsidRPr="00A72A65">
        <w:rPr>
          <w:rFonts w:asciiTheme="majorHAnsi" w:hAnsiTheme="majorHAnsi" w:cstheme="majorHAnsi"/>
          <w:bCs/>
          <w:sz w:val="20"/>
          <w:szCs w:val="20"/>
          <w:lang w:val="es-ES"/>
        </w:rPr>
        <w:t>En cuanto a la viabilidad del estudio, se cuenta con la participación de 13 países pertenecientes al grupo GELL para el registro de casos. S</w:t>
      </w:r>
      <w:r w:rsidRPr="00A72A65">
        <w:rPr>
          <w:rFonts w:asciiTheme="majorHAnsi" w:hAnsiTheme="majorHAnsi" w:cstheme="majorHAnsi"/>
          <w:sz w:val="20"/>
          <w:szCs w:val="20"/>
          <w:lang w:val="es-ES"/>
        </w:rPr>
        <w:t>e solicitará la autorización del Comité de Ética de cada institución que participe de este estudio.</w:t>
      </w:r>
    </w:p>
    <w:p w14:paraId="0E2D1521" w14:textId="72904975" w:rsidR="007E4586" w:rsidRDefault="007E4586" w:rsidP="00A72A65">
      <w:pPr>
        <w:spacing w:line="360" w:lineRule="auto"/>
        <w:jc w:val="both"/>
        <w:rPr>
          <w:rFonts w:asciiTheme="majorHAnsi" w:hAnsiTheme="majorHAnsi" w:cstheme="majorHAnsi"/>
          <w:sz w:val="20"/>
          <w:szCs w:val="20"/>
          <w:lang w:val="es-ES"/>
        </w:rPr>
      </w:pPr>
    </w:p>
    <w:p w14:paraId="245F0FBB" w14:textId="77777777" w:rsidR="007E4586" w:rsidRPr="007E4586" w:rsidRDefault="007E4586" w:rsidP="00A72A65">
      <w:pPr>
        <w:spacing w:line="360" w:lineRule="auto"/>
        <w:jc w:val="both"/>
        <w:rPr>
          <w:rFonts w:asciiTheme="majorHAnsi" w:hAnsiTheme="majorHAnsi" w:cstheme="majorHAnsi"/>
          <w:sz w:val="20"/>
          <w:szCs w:val="20"/>
          <w:lang w:val="es-ES"/>
        </w:rPr>
      </w:pPr>
    </w:p>
    <w:p w14:paraId="571A4FF7" w14:textId="77777777" w:rsidR="002B7539" w:rsidRPr="00A72A65" w:rsidRDefault="00A04F37" w:rsidP="00A72A65">
      <w:pPr>
        <w:spacing w:line="360" w:lineRule="auto"/>
        <w:jc w:val="both"/>
        <w:rPr>
          <w:rFonts w:asciiTheme="majorHAnsi" w:hAnsiTheme="majorHAnsi" w:cstheme="majorHAnsi"/>
          <w:b/>
          <w:bCs/>
          <w:color w:val="000000"/>
          <w:sz w:val="20"/>
          <w:szCs w:val="20"/>
          <w:lang w:val="es-ES"/>
        </w:rPr>
      </w:pPr>
      <w:r w:rsidRPr="00A72A65">
        <w:rPr>
          <w:rFonts w:asciiTheme="majorHAnsi" w:hAnsiTheme="majorHAnsi" w:cstheme="majorHAnsi"/>
          <w:b/>
          <w:bCs/>
          <w:color w:val="000000"/>
          <w:sz w:val="20"/>
          <w:szCs w:val="20"/>
          <w:lang w:val="es-ES"/>
        </w:rPr>
        <w:t>3.8. Aspectos éticos.</w:t>
      </w:r>
    </w:p>
    <w:p w14:paraId="23B5A677" w14:textId="77777777" w:rsidR="002B7539" w:rsidRPr="00A72A65" w:rsidRDefault="002B7539" w:rsidP="00A72A65">
      <w:pPr>
        <w:spacing w:line="360" w:lineRule="auto"/>
        <w:jc w:val="both"/>
        <w:rPr>
          <w:rFonts w:asciiTheme="majorHAnsi" w:hAnsiTheme="majorHAnsi" w:cstheme="majorHAnsi"/>
          <w:sz w:val="20"/>
          <w:szCs w:val="20"/>
          <w:lang w:val="es-ES"/>
        </w:rPr>
      </w:pPr>
    </w:p>
    <w:p w14:paraId="0ABFDAAE" w14:textId="224670FE" w:rsidR="002B7539" w:rsidRPr="00A72A65" w:rsidRDefault="00A04F37" w:rsidP="007E4586">
      <w:pPr>
        <w:spacing w:line="360" w:lineRule="auto"/>
        <w:jc w:val="both"/>
        <w:rPr>
          <w:rFonts w:asciiTheme="majorHAnsi" w:hAnsiTheme="majorHAnsi" w:cstheme="majorHAnsi"/>
          <w:sz w:val="20"/>
          <w:szCs w:val="20"/>
          <w:lang w:val="es-ES"/>
        </w:rPr>
      </w:pPr>
      <w:r w:rsidRPr="00A72A65">
        <w:rPr>
          <w:rFonts w:asciiTheme="majorHAnsi" w:hAnsiTheme="majorHAnsi" w:cstheme="majorHAnsi"/>
          <w:sz w:val="20"/>
          <w:szCs w:val="20"/>
          <w:lang w:val="es-ES"/>
        </w:rPr>
        <w:t xml:space="preserve">Dado que el presente estudio por su naturaleza </w:t>
      </w:r>
      <w:r w:rsidR="007E4586">
        <w:rPr>
          <w:rFonts w:asciiTheme="majorHAnsi" w:hAnsiTheme="majorHAnsi" w:cstheme="majorHAnsi"/>
          <w:sz w:val="20"/>
          <w:szCs w:val="20"/>
          <w:lang w:val="es-ES"/>
        </w:rPr>
        <w:t xml:space="preserve">retrospectiva califica </w:t>
      </w:r>
      <w:r w:rsidRPr="00A72A65">
        <w:rPr>
          <w:rFonts w:asciiTheme="majorHAnsi" w:hAnsiTheme="majorHAnsi" w:cstheme="majorHAnsi"/>
          <w:sz w:val="20"/>
          <w:szCs w:val="20"/>
          <w:lang w:val="es-ES"/>
        </w:rPr>
        <w:t xml:space="preserve">como un análisis secundario de datos el mismo no supone ningún riesgo para los pacientes. Por la misma razón, nuestra principal consideración ética consiste en codificar todos los identificadores de manera tal que no se permita la identificación directa o indirecta de </w:t>
      </w:r>
      <w:r w:rsidR="007E4586">
        <w:rPr>
          <w:rFonts w:asciiTheme="majorHAnsi" w:hAnsiTheme="majorHAnsi" w:cstheme="majorHAnsi"/>
          <w:sz w:val="20"/>
          <w:szCs w:val="20"/>
          <w:lang w:val="es-ES"/>
        </w:rPr>
        <w:t>los pacientes</w:t>
      </w:r>
      <w:r w:rsidRPr="00A72A65">
        <w:rPr>
          <w:rFonts w:asciiTheme="majorHAnsi" w:hAnsiTheme="majorHAnsi" w:cstheme="majorHAnsi"/>
          <w:sz w:val="20"/>
          <w:szCs w:val="20"/>
          <w:lang w:val="es-ES"/>
        </w:rPr>
        <w:t xml:space="preserve">, respetando en todo momento las normas internacionales de la investigación. </w:t>
      </w:r>
    </w:p>
    <w:p w14:paraId="7D350891" w14:textId="77777777" w:rsidR="002B7539" w:rsidRPr="00A72A65" w:rsidRDefault="002B7539" w:rsidP="00A72A65">
      <w:pPr>
        <w:spacing w:line="360" w:lineRule="auto"/>
        <w:jc w:val="both"/>
        <w:rPr>
          <w:rFonts w:asciiTheme="majorHAnsi" w:hAnsiTheme="majorHAnsi" w:cstheme="majorHAnsi"/>
          <w:sz w:val="20"/>
          <w:szCs w:val="20"/>
          <w:lang w:val="es-ES"/>
        </w:rPr>
      </w:pPr>
    </w:p>
    <w:p w14:paraId="7696AE30" w14:textId="77777777" w:rsidR="002B7539" w:rsidRPr="00A72A65" w:rsidRDefault="00A04F37" w:rsidP="007E4586">
      <w:pPr>
        <w:spacing w:line="360" w:lineRule="auto"/>
        <w:jc w:val="both"/>
        <w:rPr>
          <w:rFonts w:asciiTheme="majorHAnsi" w:hAnsiTheme="majorHAnsi" w:cstheme="majorHAnsi"/>
          <w:sz w:val="20"/>
          <w:szCs w:val="20"/>
          <w:lang w:val="es-ES"/>
        </w:rPr>
      </w:pPr>
      <w:r w:rsidRPr="00A72A65">
        <w:rPr>
          <w:rFonts w:asciiTheme="majorHAnsi" w:hAnsiTheme="majorHAnsi" w:cstheme="majorHAnsi"/>
          <w:sz w:val="20"/>
          <w:szCs w:val="20"/>
          <w:lang w:val="es-ES"/>
        </w:rPr>
        <w:t>A lo largo del estudio se salvaguardará el anonimato de los pacientes estudiados mediante la codificación de cada caso y esta base de datos sólo será accesible para los investigadores principales del estudio. Toda esta documentación de prueba será almacenada por el tiempo que sea requerido por la autoridad local correspondiente.</w:t>
      </w:r>
    </w:p>
    <w:p w14:paraId="0DA57009" w14:textId="77777777" w:rsidR="002B7539" w:rsidRPr="00A72A65" w:rsidRDefault="002B7539" w:rsidP="00A72A65">
      <w:pPr>
        <w:spacing w:line="360" w:lineRule="auto"/>
        <w:jc w:val="both"/>
        <w:rPr>
          <w:rFonts w:asciiTheme="majorHAnsi" w:hAnsiTheme="majorHAnsi" w:cstheme="majorHAnsi"/>
          <w:sz w:val="20"/>
          <w:szCs w:val="20"/>
          <w:lang w:val="es-ES"/>
        </w:rPr>
      </w:pPr>
    </w:p>
    <w:p w14:paraId="1EC7C1D8" w14:textId="77777777" w:rsidR="002B7539" w:rsidRPr="00A72A65" w:rsidRDefault="00A04F37" w:rsidP="007E4586">
      <w:pPr>
        <w:spacing w:line="360" w:lineRule="auto"/>
        <w:jc w:val="both"/>
        <w:rPr>
          <w:rFonts w:asciiTheme="majorHAnsi" w:hAnsiTheme="majorHAnsi" w:cstheme="majorHAnsi"/>
          <w:sz w:val="20"/>
          <w:szCs w:val="20"/>
          <w:lang w:val="es-ES"/>
        </w:rPr>
      </w:pPr>
      <w:r w:rsidRPr="00A72A65">
        <w:rPr>
          <w:rFonts w:asciiTheme="majorHAnsi" w:hAnsiTheme="majorHAnsi" w:cstheme="majorHAnsi"/>
          <w:sz w:val="20"/>
          <w:szCs w:val="20"/>
          <w:lang w:val="es-ES"/>
        </w:rPr>
        <w:t>En cumplimiento con la regulación de aprobación de protocolos de investigación serán sometido a aprobación por parte del comité de Ética de cada institución que participe de este estudio.</w:t>
      </w:r>
    </w:p>
    <w:p w14:paraId="1FE2506A" w14:textId="70148CEF" w:rsidR="002B7539" w:rsidRPr="007E4586" w:rsidRDefault="00A04F37" w:rsidP="00A72A65">
      <w:pPr>
        <w:spacing w:line="360" w:lineRule="auto"/>
        <w:jc w:val="both"/>
        <w:rPr>
          <w:rFonts w:asciiTheme="majorHAnsi" w:hAnsiTheme="majorHAnsi" w:cstheme="majorHAnsi"/>
          <w:sz w:val="20"/>
          <w:szCs w:val="20"/>
          <w:lang w:val="es-ES"/>
        </w:rPr>
      </w:pPr>
      <w:r w:rsidRPr="00A72A65">
        <w:rPr>
          <w:rFonts w:asciiTheme="majorHAnsi" w:hAnsiTheme="majorHAnsi" w:cstheme="majorHAnsi"/>
          <w:sz w:val="20"/>
          <w:szCs w:val="20"/>
          <w:lang w:val="es-ES"/>
        </w:rPr>
        <w:lastRenderedPageBreak/>
        <w:t>Los resultados finales podrán ser</w:t>
      </w:r>
      <w:r w:rsidR="007E4586">
        <w:rPr>
          <w:rFonts w:asciiTheme="majorHAnsi" w:hAnsiTheme="majorHAnsi" w:cstheme="majorHAnsi"/>
          <w:sz w:val="20"/>
          <w:szCs w:val="20"/>
          <w:lang w:val="es-ES"/>
        </w:rPr>
        <w:t xml:space="preserve"> </w:t>
      </w:r>
      <w:r w:rsidRPr="00A72A65">
        <w:rPr>
          <w:rFonts w:asciiTheme="majorHAnsi" w:hAnsiTheme="majorHAnsi" w:cstheme="majorHAnsi"/>
          <w:sz w:val="20"/>
          <w:szCs w:val="20"/>
          <w:lang w:val="es-ES"/>
        </w:rPr>
        <w:t>difundidos en congresos nacionales e internacionales así como publicados en revistas científicas. Los resultados publicados mantendrán la absoluta confidencialidad de la identificación de los pacientes</w:t>
      </w:r>
      <w:r w:rsidR="007E4586">
        <w:rPr>
          <w:rFonts w:asciiTheme="majorHAnsi" w:hAnsiTheme="majorHAnsi" w:cstheme="majorHAnsi"/>
          <w:sz w:val="20"/>
          <w:szCs w:val="20"/>
          <w:lang w:val="es-ES"/>
        </w:rPr>
        <w:t>.</w:t>
      </w:r>
    </w:p>
    <w:p w14:paraId="4833C5D4" w14:textId="77777777" w:rsidR="002B7539" w:rsidRPr="00A72A65" w:rsidRDefault="002B7539" w:rsidP="00A72A65">
      <w:pPr>
        <w:spacing w:line="360" w:lineRule="auto"/>
        <w:jc w:val="both"/>
        <w:rPr>
          <w:rFonts w:asciiTheme="majorHAnsi" w:hAnsiTheme="majorHAnsi" w:cstheme="majorHAnsi"/>
          <w:b/>
          <w:bCs/>
          <w:color w:val="000000"/>
          <w:sz w:val="20"/>
          <w:szCs w:val="20"/>
        </w:rPr>
      </w:pPr>
    </w:p>
    <w:p w14:paraId="1C091F82" w14:textId="77777777" w:rsidR="000A3379" w:rsidRPr="00A72A65" w:rsidRDefault="000A3379" w:rsidP="00A72A65">
      <w:pPr>
        <w:spacing w:line="360" w:lineRule="auto"/>
        <w:jc w:val="both"/>
        <w:rPr>
          <w:rFonts w:asciiTheme="majorHAnsi" w:hAnsiTheme="majorHAnsi" w:cstheme="majorHAnsi"/>
          <w:b/>
          <w:bCs/>
          <w:color w:val="000000"/>
          <w:sz w:val="20"/>
          <w:szCs w:val="20"/>
        </w:rPr>
      </w:pPr>
    </w:p>
    <w:p w14:paraId="2CD135A9" w14:textId="60C663B0" w:rsidR="002B7539" w:rsidRDefault="00A04F37" w:rsidP="007E4586">
      <w:pPr>
        <w:spacing w:line="360" w:lineRule="auto"/>
        <w:jc w:val="both"/>
        <w:rPr>
          <w:rFonts w:asciiTheme="majorHAnsi" w:hAnsiTheme="majorHAnsi" w:cstheme="majorHAnsi"/>
          <w:b/>
          <w:bCs/>
          <w:sz w:val="20"/>
          <w:szCs w:val="20"/>
        </w:rPr>
      </w:pPr>
      <w:r w:rsidRPr="00A72A65">
        <w:rPr>
          <w:rFonts w:asciiTheme="majorHAnsi" w:hAnsiTheme="majorHAnsi" w:cstheme="majorHAnsi"/>
          <w:b/>
          <w:bCs/>
          <w:color w:val="000000"/>
          <w:sz w:val="20"/>
          <w:szCs w:val="20"/>
        </w:rPr>
        <w:t>CAPITULO IV.</w:t>
      </w:r>
      <w:r w:rsidRPr="00A72A65">
        <w:rPr>
          <w:rFonts w:asciiTheme="majorHAnsi" w:hAnsiTheme="majorHAnsi" w:cstheme="majorHAnsi"/>
          <w:color w:val="000000"/>
          <w:sz w:val="20"/>
          <w:szCs w:val="20"/>
        </w:rPr>
        <w:t xml:space="preserve"> </w:t>
      </w:r>
      <w:r w:rsidRPr="00A72A65">
        <w:rPr>
          <w:rFonts w:asciiTheme="majorHAnsi" w:hAnsiTheme="majorHAnsi" w:cstheme="majorHAnsi"/>
          <w:b/>
          <w:bCs/>
          <w:sz w:val="20"/>
          <w:szCs w:val="20"/>
        </w:rPr>
        <w:t xml:space="preserve">REFERENCIAS </w:t>
      </w:r>
    </w:p>
    <w:p w14:paraId="35EB40D0" w14:textId="77777777" w:rsidR="007E4586" w:rsidRPr="00A72A65" w:rsidRDefault="007E4586" w:rsidP="007E4586">
      <w:pPr>
        <w:spacing w:line="360" w:lineRule="auto"/>
        <w:jc w:val="both"/>
        <w:rPr>
          <w:rFonts w:asciiTheme="majorHAnsi" w:hAnsiTheme="majorHAnsi" w:cstheme="majorHAnsi"/>
          <w:b/>
          <w:bCs/>
          <w:sz w:val="20"/>
          <w:szCs w:val="20"/>
        </w:rPr>
      </w:pPr>
    </w:p>
    <w:p w14:paraId="71C1D1A4" w14:textId="75FDD225" w:rsidR="007E4586" w:rsidRPr="007E4586" w:rsidRDefault="007E4586" w:rsidP="007E4586">
      <w:pPr>
        <w:widowControl w:val="0"/>
        <w:autoSpaceDE w:val="0"/>
        <w:autoSpaceDN w:val="0"/>
        <w:adjustRightInd w:val="0"/>
        <w:spacing w:line="360" w:lineRule="auto"/>
        <w:ind w:left="640" w:hanging="640"/>
        <w:rPr>
          <w:rFonts w:ascii="Calibri Light" w:hAnsi="Calibri Light"/>
          <w:noProof/>
          <w:sz w:val="20"/>
        </w:rPr>
      </w:pPr>
      <w:r>
        <w:rPr>
          <w:rFonts w:asciiTheme="majorHAnsi" w:hAnsiTheme="majorHAnsi" w:cstheme="majorHAnsi"/>
          <w:sz w:val="20"/>
          <w:szCs w:val="20"/>
          <w:lang w:val="es-PE"/>
        </w:rPr>
        <w:fldChar w:fldCharType="begin" w:fldLock="1"/>
      </w:r>
      <w:r>
        <w:rPr>
          <w:rFonts w:asciiTheme="majorHAnsi" w:hAnsiTheme="majorHAnsi" w:cstheme="majorHAnsi"/>
          <w:sz w:val="20"/>
          <w:szCs w:val="20"/>
          <w:lang w:val="es-PE"/>
        </w:rPr>
        <w:instrText xml:space="preserve">ADDIN Mendeley Bibliography CSL_BIBLIOGRAPHY </w:instrText>
      </w:r>
      <w:r>
        <w:rPr>
          <w:rFonts w:asciiTheme="majorHAnsi" w:hAnsiTheme="majorHAnsi" w:cstheme="majorHAnsi"/>
          <w:sz w:val="20"/>
          <w:szCs w:val="20"/>
          <w:lang w:val="es-PE"/>
        </w:rPr>
        <w:fldChar w:fldCharType="separate"/>
      </w:r>
      <w:r w:rsidRPr="007E4586">
        <w:rPr>
          <w:rFonts w:ascii="Calibri Light" w:hAnsi="Calibri Light"/>
          <w:noProof/>
          <w:sz w:val="20"/>
        </w:rPr>
        <w:t xml:space="preserve">1. </w:t>
      </w:r>
      <w:r w:rsidRPr="007E4586">
        <w:rPr>
          <w:rFonts w:ascii="Calibri Light" w:hAnsi="Calibri Light"/>
          <w:noProof/>
          <w:sz w:val="20"/>
        </w:rPr>
        <w:tab/>
        <w:t>NIH. Cancer Stat Facts: Leukemia — Chronic Lymphocytic Leukemia (CLL). [cited 29 Jan 2021]. Available: https://seer.cancer.gov/statfacts/html/clyl.html</w:t>
      </w:r>
    </w:p>
    <w:p w14:paraId="339483C7" w14:textId="77777777" w:rsidR="007E4586" w:rsidRPr="007E4586" w:rsidRDefault="007E4586" w:rsidP="007E4586">
      <w:pPr>
        <w:widowControl w:val="0"/>
        <w:autoSpaceDE w:val="0"/>
        <w:autoSpaceDN w:val="0"/>
        <w:adjustRightInd w:val="0"/>
        <w:spacing w:line="360" w:lineRule="auto"/>
        <w:ind w:left="640" w:hanging="640"/>
        <w:rPr>
          <w:rFonts w:ascii="Calibri Light" w:hAnsi="Calibri Light"/>
          <w:noProof/>
          <w:sz w:val="20"/>
        </w:rPr>
      </w:pPr>
      <w:r w:rsidRPr="007E4586">
        <w:rPr>
          <w:rFonts w:ascii="Calibri Light" w:hAnsi="Calibri Light"/>
          <w:noProof/>
          <w:sz w:val="20"/>
        </w:rPr>
        <w:t xml:space="preserve">2. </w:t>
      </w:r>
      <w:r w:rsidRPr="007E4586">
        <w:rPr>
          <w:rFonts w:ascii="Calibri Light" w:hAnsi="Calibri Light"/>
          <w:noProof/>
          <w:sz w:val="20"/>
        </w:rPr>
        <w:tab/>
        <w:t>Sociedad de Hematología (SHU). Registro de Leucemias. 2018. Available: http://www.shu.com.uy/</w:t>
      </w:r>
    </w:p>
    <w:p w14:paraId="6390453A" w14:textId="77777777" w:rsidR="007E4586" w:rsidRPr="007E4586" w:rsidRDefault="007E4586" w:rsidP="007E4586">
      <w:pPr>
        <w:widowControl w:val="0"/>
        <w:autoSpaceDE w:val="0"/>
        <w:autoSpaceDN w:val="0"/>
        <w:adjustRightInd w:val="0"/>
        <w:spacing w:line="360" w:lineRule="auto"/>
        <w:ind w:left="640" w:hanging="640"/>
        <w:rPr>
          <w:rFonts w:ascii="Calibri Light" w:hAnsi="Calibri Light"/>
          <w:noProof/>
          <w:sz w:val="20"/>
        </w:rPr>
      </w:pPr>
      <w:r w:rsidRPr="007E4586">
        <w:rPr>
          <w:rFonts w:ascii="Calibri Light" w:hAnsi="Calibri Light"/>
          <w:noProof/>
          <w:sz w:val="20"/>
        </w:rPr>
        <w:t xml:space="preserve">3. </w:t>
      </w:r>
      <w:r w:rsidRPr="007E4586">
        <w:rPr>
          <w:rFonts w:ascii="Calibri Light" w:hAnsi="Calibri Light"/>
          <w:noProof/>
          <w:sz w:val="20"/>
        </w:rPr>
        <w:tab/>
        <w:t>Tietsche de Moraes Hungria V, Chiattone C, Pavlovsky M, Abenoza LM, Agreda GP, Armenta J, et al. Epidemiology of Hematologic Malignancies in Real-World Settings: Findings From the Hemato-Oncology Latin America Observational Registry Study. J Glob Oncol. 2019; 1–19. doi:10.1200/JGO.19.00025</w:t>
      </w:r>
    </w:p>
    <w:p w14:paraId="30BCBD67" w14:textId="77777777" w:rsidR="007E4586" w:rsidRPr="007E4586" w:rsidRDefault="007E4586" w:rsidP="007E4586">
      <w:pPr>
        <w:widowControl w:val="0"/>
        <w:autoSpaceDE w:val="0"/>
        <w:autoSpaceDN w:val="0"/>
        <w:adjustRightInd w:val="0"/>
        <w:spacing w:line="360" w:lineRule="auto"/>
        <w:ind w:left="640" w:hanging="640"/>
        <w:rPr>
          <w:rFonts w:ascii="Calibri Light" w:hAnsi="Calibri Light"/>
          <w:noProof/>
          <w:sz w:val="20"/>
        </w:rPr>
      </w:pPr>
      <w:r w:rsidRPr="007E4586">
        <w:rPr>
          <w:rFonts w:ascii="Calibri Light" w:hAnsi="Calibri Light"/>
          <w:noProof/>
          <w:sz w:val="20"/>
        </w:rPr>
        <w:t xml:space="preserve">4. </w:t>
      </w:r>
      <w:r w:rsidRPr="007E4586">
        <w:rPr>
          <w:rFonts w:ascii="Calibri Light" w:hAnsi="Calibri Light"/>
          <w:noProof/>
          <w:sz w:val="20"/>
        </w:rPr>
        <w:tab/>
        <w:t>Hallek M, Cheson BD, Catovsky D, Caligaris-Cappio F, Dighiero G, Döhner H, et al. iwCLL guidelines for diagnosis, indications for treatment, response assessment, and supportive management of CLL. Blood. 2018;131: 2745–2760. doi:10.1182/blood-2017-09-806398</w:t>
      </w:r>
    </w:p>
    <w:p w14:paraId="53BAF182" w14:textId="77777777" w:rsidR="007E4586" w:rsidRPr="007E4586" w:rsidRDefault="007E4586" w:rsidP="007E4586">
      <w:pPr>
        <w:widowControl w:val="0"/>
        <w:autoSpaceDE w:val="0"/>
        <w:autoSpaceDN w:val="0"/>
        <w:adjustRightInd w:val="0"/>
        <w:spacing w:line="360" w:lineRule="auto"/>
        <w:ind w:left="640" w:hanging="640"/>
        <w:rPr>
          <w:rFonts w:ascii="Calibri Light" w:hAnsi="Calibri Light"/>
          <w:noProof/>
          <w:sz w:val="20"/>
        </w:rPr>
      </w:pPr>
      <w:r w:rsidRPr="007E4586">
        <w:rPr>
          <w:rFonts w:ascii="Calibri Light" w:hAnsi="Calibri Light"/>
          <w:noProof/>
          <w:sz w:val="20"/>
        </w:rPr>
        <w:t xml:space="preserve">5. </w:t>
      </w:r>
      <w:r w:rsidRPr="007E4586">
        <w:rPr>
          <w:rFonts w:ascii="Calibri Light" w:hAnsi="Calibri Light"/>
          <w:noProof/>
          <w:sz w:val="20"/>
        </w:rPr>
        <w:tab/>
        <w:t>Lymphoma Coalition. 2017 European Subtype Report. Chronic Lymphocytyc Leukaemia. 2017. Available: https://lymphomacoalition.org/wp-content/uploads/CLL_Europe_2017_Report-1.pdf</w:t>
      </w:r>
    </w:p>
    <w:p w14:paraId="45CFE0F1" w14:textId="77777777" w:rsidR="007E4586" w:rsidRPr="007E4586" w:rsidRDefault="007E4586" w:rsidP="007E4586">
      <w:pPr>
        <w:widowControl w:val="0"/>
        <w:autoSpaceDE w:val="0"/>
        <w:autoSpaceDN w:val="0"/>
        <w:adjustRightInd w:val="0"/>
        <w:spacing w:line="360" w:lineRule="auto"/>
        <w:ind w:left="640" w:hanging="640"/>
        <w:rPr>
          <w:rFonts w:ascii="Calibri Light" w:hAnsi="Calibri Light"/>
          <w:noProof/>
          <w:sz w:val="20"/>
        </w:rPr>
      </w:pPr>
      <w:r w:rsidRPr="007E4586">
        <w:rPr>
          <w:rFonts w:ascii="Calibri Light" w:hAnsi="Calibri Light"/>
          <w:noProof/>
          <w:sz w:val="20"/>
        </w:rPr>
        <w:t xml:space="preserve">6. </w:t>
      </w:r>
      <w:r w:rsidRPr="007E4586">
        <w:rPr>
          <w:rFonts w:ascii="Calibri Light" w:hAnsi="Calibri Light"/>
          <w:noProof/>
          <w:sz w:val="20"/>
        </w:rPr>
        <w:tab/>
        <w:t>Prieto D, Seija N, Uriepero A, Souto-Padron T, Oliver C, Irigoin V, et al. LPL protein in Chronic Lymphocytic Leukaemia have different origins in Mutated and Unmutated patients. Advances for a new prognostic marker in CLL. Br J Haematol. 2018;182: 521–525. doi:10.1111/bjh.15427</w:t>
      </w:r>
    </w:p>
    <w:p w14:paraId="52F559C9" w14:textId="77777777" w:rsidR="007E4586" w:rsidRPr="007E4586" w:rsidRDefault="007E4586" w:rsidP="007E4586">
      <w:pPr>
        <w:widowControl w:val="0"/>
        <w:autoSpaceDE w:val="0"/>
        <w:autoSpaceDN w:val="0"/>
        <w:adjustRightInd w:val="0"/>
        <w:spacing w:line="360" w:lineRule="auto"/>
        <w:ind w:left="640" w:hanging="640"/>
        <w:rPr>
          <w:rFonts w:ascii="Calibri Light" w:hAnsi="Calibri Light"/>
          <w:noProof/>
          <w:sz w:val="20"/>
        </w:rPr>
      </w:pPr>
      <w:r w:rsidRPr="007E4586">
        <w:rPr>
          <w:rFonts w:ascii="Calibri Light" w:hAnsi="Calibri Light"/>
          <w:noProof/>
          <w:sz w:val="20"/>
        </w:rPr>
        <w:t xml:space="preserve">7. </w:t>
      </w:r>
      <w:r w:rsidRPr="007E4586">
        <w:rPr>
          <w:rFonts w:ascii="Calibri Light" w:hAnsi="Calibri Light"/>
          <w:noProof/>
          <w:sz w:val="20"/>
        </w:rPr>
        <w:tab/>
        <w:t>Prieto D, Sotelo N, Seija N, Sernbo S, Abreu C, Durán R, et al. S100-A9 protein in exosomes from chronic lymphocytic leukemia cells promotes NF-κB activity during disease progression. Blood. 2017;130: 777–788. doi:10.1182/blood-2017-02-769851</w:t>
      </w:r>
    </w:p>
    <w:p w14:paraId="298264DD" w14:textId="77777777" w:rsidR="007E4586" w:rsidRPr="007E4586" w:rsidRDefault="007E4586" w:rsidP="007E4586">
      <w:pPr>
        <w:widowControl w:val="0"/>
        <w:autoSpaceDE w:val="0"/>
        <w:autoSpaceDN w:val="0"/>
        <w:adjustRightInd w:val="0"/>
        <w:spacing w:line="360" w:lineRule="auto"/>
        <w:ind w:left="640" w:hanging="640"/>
        <w:rPr>
          <w:rFonts w:ascii="Calibri Light" w:hAnsi="Calibri Light"/>
          <w:noProof/>
          <w:sz w:val="20"/>
        </w:rPr>
      </w:pPr>
      <w:r w:rsidRPr="007E4586">
        <w:rPr>
          <w:rFonts w:ascii="Calibri Light" w:hAnsi="Calibri Light"/>
          <w:noProof/>
          <w:sz w:val="20"/>
        </w:rPr>
        <w:t xml:space="preserve">8. </w:t>
      </w:r>
      <w:r w:rsidRPr="007E4586">
        <w:rPr>
          <w:rFonts w:ascii="Calibri Light" w:hAnsi="Calibri Light"/>
          <w:noProof/>
          <w:sz w:val="20"/>
        </w:rPr>
        <w:tab/>
        <w:t>Damle RN, Wasil T, Fais F, Ghiotto F, Valetto A, Allen SL, et al. Ig V Gene Mutation Status and CD38 Expression As Novel Prognostic Indicators in Chronic Lymphocytic Leukemia. Blood. 1999;94: 1840–1847. doi:10.1182/blood.V94.6.1840</w:t>
      </w:r>
    </w:p>
    <w:p w14:paraId="0A643AE5" w14:textId="77777777" w:rsidR="007E4586" w:rsidRPr="007E4586" w:rsidRDefault="007E4586" w:rsidP="007E4586">
      <w:pPr>
        <w:widowControl w:val="0"/>
        <w:autoSpaceDE w:val="0"/>
        <w:autoSpaceDN w:val="0"/>
        <w:adjustRightInd w:val="0"/>
        <w:spacing w:line="360" w:lineRule="auto"/>
        <w:ind w:left="640" w:hanging="640"/>
        <w:rPr>
          <w:rFonts w:ascii="Calibri Light" w:hAnsi="Calibri Light"/>
          <w:noProof/>
          <w:sz w:val="20"/>
        </w:rPr>
      </w:pPr>
      <w:r w:rsidRPr="007E4586">
        <w:rPr>
          <w:rFonts w:ascii="Calibri Light" w:hAnsi="Calibri Light"/>
          <w:noProof/>
          <w:sz w:val="20"/>
        </w:rPr>
        <w:t xml:space="preserve">9. </w:t>
      </w:r>
      <w:r w:rsidRPr="007E4586">
        <w:rPr>
          <w:rFonts w:ascii="Calibri Light" w:hAnsi="Calibri Light"/>
          <w:noProof/>
          <w:sz w:val="20"/>
        </w:rPr>
        <w:tab/>
        <w:t>Hamblin TJ, Davis Z, Gardiner A, Oscier DG, Stevenson FK. Unmutated Ig VH Genes Are Associated With a More Aggressive Form of Chronic Lymphocytic Leukemia. Blood. 1999;94: 1848–1854. doi:10.1182/blood.V94.6.1848</w:t>
      </w:r>
    </w:p>
    <w:p w14:paraId="4234170B" w14:textId="77777777" w:rsidR="007E4586" w:rsidRPr="007E4586" w:rsidRDefault="007E4586" w:rsidP="007E4586">
      <w:pPr>
        <w:widowControl w:val="0"/>
        <w:autoSpaceDE w:val="0"/>
        <w:autoSpaceDN w:val="0"/>
        <w:adjustRightInd w:val="0"/>
        <w:spacing w:line="360" w:lineRule="auto"/>
        <w:ind w:left="640" w:hanging="640"/>
        <w:rPr>
          <w:rFonts w:ascii="Calibri Light" w:hAnsi="Calibri Light"/>
          <w:noProof/>
          <w:sz w:val="20"/>
        </w:rPr>
      </w:pPr>
      <w:r w:rsidRPr="007E4586">
        <w:rPr>
          <w:rFonts w:ascii="Calibri Light" w:hAnsi="Calibri Light"/>
          <w:noProof/>
          <w:sz w:val="20"/>
        </w:rPr>
        <w:t xml:space="preserve">10. </w:t>
      </w:r>
      <w:r w:rsidRPr="007E4586">
        <w:rPr>
          <w:rFonts w:ascii="Calibri Light" w:hAnsi="Calibri Light"/>
          <w:noProof/>
          <w:sz w:val="20"/>
        </w:rPr>
        <w:tab/>
        <w:t>An international prognostic index for patients with chronic lymphocytic leukaemia (CLL-IPI): a meta-analysis of individual patient data. Lancet Oncol. 2016;17: 779–790. doi:10.1016/S1470-2045(16)30029-8</w:t>
      </w:r>
    </w:p>
    <w:p w14:paraId="71045402" w14:textId="1655D5F5" w:rsidR="002B7539" w:rsidRPr="00A72A65" w:rsidRDefault="007E4586" w:rsidP="00A72A65">
      <w:pPr>
        <w:spacing w:line="360" w:lineRule="auto"/>
        <w:jc w:val="both"/>
        <w:rPr>
          <w:rFonts w:asciiTheme="majorHAnsi" w:hAnsiTheme="majorHAnsi" w:cstheme="majorHAnsi"/>
          <w:sz w:val="20"/>
          <w:szCs w:val="20"/>
          <w:lang w:val="es-PE"/>
        </w:rPr>
      </w:pPr>
      <w:r>
        <w:rPr>
          <w:rFonts w:asciiTheme="majorHAnsi" w:hAnsiTheme="majorHAnsi" w:cstheme="majorHAnsi"/>
          <w:sz w:val="20"/>
          <w:szCs w:val="20"/>
          <w:lang w:val="es-PE"/>
        </w:rPr>
        <w:fldChar w:fldCharType="end"/>
      </w:r>
    </w:p>
    <w:p w14:paraId="4E17B2BB" w14:textId="77777777" w:rsidR="002B7539" w:rsidRPr="00A72A65" w:rsidRDefault="002B7539" w:rsidP="00A72A65">
      <w:pPr>
        <w:spacing w:line="360" w:lineRule="auto"/>
        <w:jc w:val="both"/>
        <w:rPr>
          <w:rFonts w:asciiTheme="majorHAnsi" w:hAnsiTheme="majorHAnsi" w:cstheme="majorHAnsi"/>
          <w:sz w:val="20"/>
          <w:szCs w:val="20"/>
          <w:lang w:val="es-PE"/>
        </w:rPr>
      </w:pPr>
    </w:p>
    <w:p w14:paraId="7E30A03F" w14:textId="77777777" w:rsidR="002B7539" w:rsidRPr="00A72A65" w:rsidRDefault="002B7539" w:rsidP="00A72A65">
      <w:pPr>
        <w:spacing w:line="360" w:lineRule="auto"/>
        <w:jc w:val="both"/>
        <w:rPr>
          <w:rFonts w:asciiTheme="majorHAnsi" w:hAnsiTheme="majorHAnsi" w:cstheme="majorHAnsi"/>
          <w:sz w:val="20"/>
          <w:szCs w:val="20"/>
          <w:lang w:val="es-PE"/>
        </w:rPr>
      </w:pPr>
    </w:p>
    <w:p w14:paraId="1E7BF1B9" w14:textId="77777777" w:rsidR="002B7539" w:rsidRPr="00A72A65" w:rsidRDefault="002B7539" w:rsidP="00A72A65">
      <w:pPr>
        <w:spacing w:line="360" w:lineRule="auto"/>
        <w:jc w:val="both"/>
        <w:rPr>
          <w:rFonts w:asciiTheme="majorHAnsi" w:hAnsiTheme="majorHAnsi" w:cstheme="majorHAnsi"/>
          <w:sz w:val="20"/>
          <w:szCs w:val="20"/>
          <w:lang w:val="es-PE"/>
        </w:rPr>
      </w:pPr>
    </w:p>
    <w:p w14:paraId="13F5199B" w14:textId="77777777" w:rsidR="002B7539" w:rsidRPr="00A72A65" w:rsidRDefault="00A04F37" w:rsidP="00A72A65">
      <w:pPr>
        <w:tabs>
          <w:tab w:val="left" w:pos="1787"/>
        </w:tabs>
        <w:jc w:val="both"/>
        <w:rPr>
          <w:rFonts w:asciiTheme="majorHAnsi" w:hAnsiTheme="majorHAnsi" w:cstheme="majorHAnsi"/>
          <w:b/>
          <w:sz w:val="20"/>
          <w:szCs w:val="20"/>
        </w:rPr>
      </w:pPr>
      <w:r w:rsidRPr="00A72A65">
        <w:rPr>
          <w:rFonts w:asciiTheme="majorHAnsi" w:hAnsiTheme="majorHAnsi" w:cstheme="majorHAnsi"/>
          <w:b/>
          <w:sz w:val="20"/>
          <w:szCs w:val="20"/>
        </w:rPr>
        <w:lastRenderedPageBreak/>
        <w:t>CAPITULO V. CRONOGRAMA</w:t>
      </w:r>
    </w:p>
    <w:p w14:paraId="3CE40927" w14:textId="77777777" w:rsidR="002B7539" w:rsidRPr="00A72A65" w:rsidRDefault="002B7539" w:rsidP="00A72A65">
      <w:pPr>
        <w:tabs>
          <w:tab w:val="left" w:pos="1787"/>
        </w:tabs>
        <w:jc w:val="both"/>
        <w:rPr>
          <w:rFonts w:asciiTheme="majorHAnsi" w:hAnsiTheme="majorHAnsi" w:cstheme="majorHAnsi"/>
          <w:b/>
          <w:sz w:val="20"/>
          <w:szCs w:val="20"/>
        </w:rPr>
      </w:pPr>
    </w:p>
    <w:p w14:paraId="133FFFB4" w14:textId="77777777" w:rsidR="002B7539" w:rsidRPr="00A72A65" w:rsidRDefault="002B7539" w:rsidP="00A72A65">
      <w:pPr>
        <w:tabs>
          <w:tab w:val="left" w:pos="1787"/>
        </w:tabs>
        <w:jc w:val="both"/>
        <w:rPr>
          <w:rFonts w:asciiTheme="majorHAnsi" w:hAnsiTheme="majorHAnsi" w:cstheme="majorHAnsi"/>
          <w:b/>
          <w:sz w:val="20"/>
          <w:szCs w:val="20"/>
        </w:rPr>
      </w:pPr>
    </w:p>
    <w:tbl>
      <w:tblPr>
        <w:tblStyle w:val="Tablaconcuadrcula"/>
        <w:tblW w:w="8362" w:type="dxa"/>
        <w:tblLook w:val="04A0" w:firstRow="1" w:lastRow="0" w:firstColumn="1" w:lastColumn="0" w:noHBand="0" w:noVBand="1"/>
      </w:tblPr>
      <w:tblGrid>
        <w:gridCol w:w="1551"/>
        <w:gridCol w:w="1425"/>
        <w:gridCol w:w="1418"/>
        <w:gridCol w:w="1275"/>
        <w:gridCol w:w="1418"/>
        <w:gridCol w:w="1275"/>
      </w:tblGrid>
      <w:tr w:rsidR="002B7539" w:rsidRPr="00A72A65" w14:paraId="7DB2EE17" w14:textId="77777777">
        <w:tc>
          <w:tcPr>
            <w:tcW w:w="1550" w:type="dxa"/>
            <w:shd w:val="clear" w:color="auto" w:fill="auto"/>
          </w:tcPr>
          <w:p w14:paraId="19414A66" w14:textId="77777777" w:rsidR="002B7539" w:rsidRPr="00A72A65" w:rsidRDefault="002B7539" w:rsidP="00A72A65">
            <w:pPr>
              <w:tabs>
                <w:tab w:val="left" w:pos="1787"/>
              </w:tabs>
              <w:jc w:val="both"/>
              <w:rPr>
                <w:rFonts w:asciiTheme="majorHAnsi" w:hAnsiTheme="majorHAnsi" w:cstheme="majorHAnsi"/>
                <w:sz w:val="20"/>
                <w:szCs w:val="20"/>
                <w:lang w:val="es-UY"/>
              </w:rPr>
            </w:pPr>
          </w:p>
          <w:p w14:paraId="78CFF2C2" w14:textId="77777777" w:rsidR="002B7539" w:rsidRPr="00A72A65" w:rsidRDefault="00A04F37" w:rsidP="00A72A65">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Actividades</w:t>
            </w:r>
          </w:p>
          <w:p w14:paraId="5CA0F629" w14:textId="77777777" w:rsidR="002B7539" w:rsidRPr="00A72A65" w:rsidRDefault="002B7539" w:rsidP="00A72A65">
            <w:pPr>
              <w:tabs>
                <w:tab w:val="left" w:pos="1787"/>
              </w:tabs>
              <w:jc w:val="both"/>
              <w:rPr>
                <w:rFonts w:asciiTheme="majorHAnsi" w:hAnsiTheme="majorHAnsi" w:cstheme="majorHAnsi"/>
                <w:sz w:val="20"/>
                <w:szCs w:val="20"/>
              </w:rPr>
            </w:pPr>
          </w:p>
        </w:tc>
        <w:tc>
          <w:tcPr>
            <w:tcW w:w="1425" w:type="dxa"/>
            <w:shd w:val="clear" w:color="auto" w:fill="auto"/>
          </w:tcPr>
          <w:p w14:paraId="26105C23" w14:textId="77777777" w:rsidR="002B7539" w:rsidRPr="00A72A65" w:rsidRDefault="002B7539" w:rsidP="00A72A65">
            <w:pPr>
              <w:tabs>
                <w:tab w:val="left" w:pos="1787"/>
              </w:tabs>
              <w:jc w:val="both"/>
              <w:rPr>
                <w:rFonts w:asciiTheme="majorHAnsi" w:hAnsiTheme="majorHAnsi" w:cstheme="majorHAnsi"/>
                <w:sz w:val="20"/>
                <w:szCs w:val="20"/>
              </w:rPr>
            </w:pPr>
          </w:p>
          <w:p w14:paraId="5CAB6B00" w14:textId="674C256B" w:rsidR="002B7539" w:rsidRPr="00A72A65" w:rsidRDefault="00A04F37" w:rsidP="00FF7AD2">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Febrero-</w:t>
            </w:r>
            <w:r w:rsidR="00FF7AD2">
              <w:rPr>
                <w:rFonts w:asciiTheme="majorHAnsi" w:hAnsiTheme="majorHAnsi" w:cstheme="majorHAnsi"/>
                <w:sz w:val="20"/>
                <w:szCs w:val="20"/>
              </w:rPr>
              <w:t>Mayo</w:t>
            </w:r>
            <w:r w:rsidRPr="00A72A65">
              <w:rPr>
                <w:rFonts w:asciiTheme="majorHAnsi" w:hAnsiTheme="majorHAnsi" w:cstheme="majorHAnsi"/>
                <w:sz w:val="20"/>
                <w:szCs w:val="20"/>
              </w:rPr>
              <w:t xml:space="preserve"> 2021</w:t>
            </w:r>
          </w:p>
        </w:tc>
        <w:tc>
          <w:tcPr>
            <w:tcW w:w="1418" w:type="dxa"/>
            <w:shd w:val="clear" w:color="auto" w:fill="auto"/>
          </w:tcPr>
          <w:p w14:paraId="3734D95C" w14:textId="77777777" w:rsidR="002B7539" w:rsidRPr="00A72A65" w:rsidRDefault="002B7539" w:rsidP="00A72A65">
            <w:pPr>
              <w:tabs>
                <w:tab w:val="left" w:pos="1787"/>
              </w:tabs>
              <w:jc w:val="both"/>
              <w:rPr>
                <w:rFonts w:asciiTheme="majorHAnsi" w:hAnsiTheme="majorHAnsi" w:cstheme="majorHAnsi"/>
                <w:sz w:val="20"/>
                <w:szCs w:val="20"/>
              </w:rPr>
            </w:pPr>
          </w:p>
          <w:p w14:paraId="018369A7" w14:textId="05663F97" w:rsidR="002B7539" w:rsidRPr="00A72A65" w:rsidRDefault="00FF7AD2" w:rsidP="00FF7AD2">
            <w:pPr>
              <w:tabs>
                <w:tab w:val="left" w:pos="1787"/>
              </w:tabs>
              <w:jc w:val="both"/>
              <w:rPr>
                <w:rFonts w:asciiTheme="majorHAnsi" w:hAnsiTheme="majorHAnsi" w:cstheme="majorHAnsi"/>
                <w:sz w:val="20"/>
                <w:szCs w:val="20"/>
              </w:rPr>
            </w:pPr>
            <w:r>
              <w:rPr>
                <w:rFonts w:asciiTheme="majorHAnsi" w:hAnsiTheme="majorHAnsi" w:cstheme="majorHAnsi"/>
                <w:sz w:val="20"/>
                <w:szCs w:val="20"/>
              </w:rPr>
              <w:t>Junio</w:t>
            </w:r>
            <w:r w:rsidR="00A04F37" w:rsidRPr="00A72A65">
              <w:rPr>
                <w:rFonts w:asciiTheme="majorHAnsi" w:hAnsiTheme="majorHAnsi" w:cstheme="majorHAnsi"/>
                <w:sz w:val="20"/>
                <w:szCs w:val="20"/>
              </w:rPr>
              <w:t>-Agosto 2021</w:t>
            </w:r>
          </w:p>
        </w:tc>
        <w:tc>
          <w:tcPr>
            <w:tcW w:w="1275" w:type="dxa"/>
            <w:shd w:val="clear" w:color="auto" w:fill="auto"/>
          </w:tcPr>
          <w:p w14:paraId="2978ED3B" w14:textId="77777777" w:rsidR="002B7539" w:rsidRPr="00A72A65" w:rsidRDefault="002B7539" w:rsidP="00A72A65">
            <w:pPr>
              <w:tabs>
                <w:tab w:val="left" w:pos="1787"/>
              </w:tabs>
              <w:jc w:val="both"/>
              <w:rPr>
                <w:rFonts w:asciiTheme="majorHAnsi" w:hAnsiTheme="majorHAnsi" w:cstheme="majorHAnsi"/>
                <w:sz w:val="20"/>
                <w:szCs w:val="20"/>
              </w:rPr>
            </w:pPr>
          </w:p>
          <w:p w14:paraId="1F31C7CE" w14:textId="77777777" w:rsidR="002B7539" w:rsidRPr="00A72A65" w:rsidRDefault="00A04F37" w:rsidP="00A72A65">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Setiembre-Noviembre 2021</w:t>
            </w:r>
          </w:p>
        </w:tc>
        <w:tc>
          <w:tcPr>
            <w:tcW w:w="1418" w:type="dxa"/>
            <w:shd w:val="clear" w:color="auto" w:fill="auto"/>
          </w:tcPr>
          <w:p w14:paraId="53CAE0DF" w14:textId="77777777" w:rsidR="002B7539" w:rsidRPr="00A72A65" w:rsidRDefault="002B7539" w:rsidP="00A72A65">
            <w:pPr>
              <w:tabs>
                <w:tab w:val="left" w:pos="1787"/>
              </w:tabs>
              <w:jc w:val="both"/>
              <w:rPr>
                <w:rFonts w:asciiTheme="majorHAnsi" w:hAnsiTheme="majorHAnsi" w:cstheme="majorHAnsi"/>
                <w:sz w:val="20"/>
                <w:szCs w:val="20"/>
              </w:rPr>
            </w:pPr>
          </w:p>
          <w:p w14:paraId="2921A198" w14:textId="77777777" w:rsidR="002B7539" w:rsidRPr="00A72A65" w:rsidRDefault="00A04F37" w:rsidP="00A72A65">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Diciembre 2021</w:t>
            </w:r>
          </w:p>
        </w:tc>
        <w:tc>
          <w:tcPr>
            <w:tcW w:w="1275" w:type="dxa"/>
            <w:shd w:val="clear" w:color="auto" w:fill="auto"/>
          </w:tcPr>
          <w:p w14:paraId="0A410675" w14:textId="77777777" w:rsidR="002B7539" w:rsidRPr="00A72A65" w:rsidRDefault="002B7539" w:rsidP="00A72A65">
            <w:pPr>
              <w:tabs>
                <w:tab w:val="left" w:pos="1787"/>
              </w:tabs>
              <w:jc w:val="both"/>
              <w:rPr>
                <w:rFonts w:asciiTheme="majorHAnsi" w:hAnsiTheme="majorHAnsi" w:cstheme="majorHAnsi"/>
                <w:sz w:val="20"/>
                <w:szCs w:val="20"/>
              </w:rPr>
            </w:pPr>
          </w:p>
          <w:p w14:paraId="7BA17FDB" w14:textId="77777777" w:rsidR="002B7539" w:rsidRPr="00A72A65" w:rsidRDefault="00A04F37" w:rsidP="00A72A65">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Marzo 2022</w:t>
            </w:r>
          </w:p>
        </w:tc>
      </w:tr>
      <w:tr w:rsidR="002B7539" w:rsidRPr="00A72A65" w14:paraId="47D150ED" w14:textId="77777777">
        <w:tc>
          <w:tcPr>
            <w:tcW w:w="1550" w:type="dxa"/>
            <w:shd w:val="clear" w:color="auto" w:fill="auto"/>
          </w:tcPr>
          <w:p w14:paraId="5464DA2C" w14:textId="77777777" w:rsidR="002B7539" w:rsidRPr="00A72A65" w:rsidRDefault="00A04F37" w:rsidP="00A72A65">
            <w:pPr>
              <w:tabs>
                <w:tab w:val="left" w:pos="1787"/>
              </w:tabs>
              <w:jc w:val="both"/>
              <w:rPr>
                <w:rFonts w:asciiTheme="majorHAnsi" w:hAnsiTheme="majorHAnsi" w:cstheme="majorHAnsi"/>
                <w:sz w:val="20"/>
                <w:szCs w:val="20"/>
                <w:lang w:val="es-UY"/>
              </w:rPr>
            </w:pPr>
            <w:r w:rsidRPr="00A72A65">
              <w:rPr>
                <w:rFonts w:asciiTheme="majorHAnsi" w:hAnsiTheme="majorHAnsi" w:cstheme="majorHAnsi"/>
                <w:sz w:val="20"/>
                <w:szCs w:val="20"/>
                <w:lang w:val="es-UY"/>
              </w:rPr>
              <w:t>Presentación a comités de ética</w:t>
            </w:r>
          </w:p>
        </w:tc>
        <w:tc>
          <w:tcPr>
            <w:tcW w:w="1425" w:type="dxa"/>
            <w:shd w:val="clear" w:color="auto" w:fill="auto"/>
          </w:tcPr>
          <w:p w14:paraId="3C12A087" w14:textId="77777777" w:rsidR="002B7539" w:rsidRPr="00A72A65" w:rsidRDefault="002B7539" w:rsidP="00A72A65">
            <w:pPr>
              <w:tabs>
                <w:tab w:val="left" w:pos="1787"/>
              </w:tabs>
              <w:jc w:val="both"/>
              <w:rPr>
                <w:rFonts w:asciiTheme="majorHAnsi" w:hAnsiTheme="majorHAnsi" w:cstheme="majorHAnsi"/>
                <w:sz w:val="20"/>
                <w:szCs w:val="20"/>
                <w:lang w:val="es-UY"/>
              </w:rPr>
            </w:pPr>
          </w:p>
          <w:p w14:paraId="31A52D04" w14:textId="77777777" w:rsidR="002B7539" w:rsidRPr="00A72A65" w:rsidRDefault="00A04F37" w:rsidP="00A72A65">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X</w:t>
            </w:r>
          </w:p>
        </w:tc>
        <w:tc>
          <w:tcPr>
            <w:tcW w:w="1418" w:type="dxa"/>
            <w:shd w:val="clear" w:color="auto" w:fill="auto"/>
          </w:tcPr>
          <w:p w14:paraId="28BCC15B" w14:textId="77777777" w:rsidR="002B7539" w:rsidRPr="00A72A65" w:rsidRDefault="002B7539" w:rsidP="00A72A65">
            <w:pPr>
              <w:tabs>
                <w:tab w:val="left" w:pos="1787"/>
              </w:tabs>
              <w:jc w:val="both"/>
              <w:rPr>
                <w:rFonts w:asciiTheme="majorHAnsi" w:hAnsiTheme="majorHAnsi" w:cstheme="majorHAnsi"/>
                <w:sz w:val="20"/>
                <w:szCs w:val="20"/>
              </w:rPr>
            </w:pPr>
          </w:p>
        </w:tc>
        <w:tc>
          <w:tcPr>
            <w:tcW w:w="1275" w:type="dxa"/>
            <w:shd w:val="clear" w:color="auto" w:fill="auto"/>
          </w:tcPr>
          <w:p w14:paraId="6C527DCC" w14:textId="77777777" w:rsidR="002B7539" w:rsidRPr="00A72A65" w:rsidRDefault="002B7539" w:rsidP="00A72A65">
            <w:pPr>
              <w:tabs>
                <w:tab w:val="left" w:pos="1787"/>
              </w:tabs>
              <w:jc w:val="both"/>
              <w:rPr>
                <w:rFonts w:asciiTheme="majorHAnsi" w:hAnsiTheme="majorHAnsi" w:cstheme="majorHAnsi"/>
                <w:sz w:val="20"/>
                <w:szCs w:val="20"/>
              </w:rPr>
            </w:pPr>
          </w:p>
        </w:tc>
        <w:tc>
          <w:tcPr>
            <w:tcW w:w="1418" w:type="dxa"/>
            <w:shd w:val="clear" w:color="auto" w:fill="auto"/>
          </w:tcPr>
          <w:p w14:paraId="33B0EEBA" w14:textId="77777777" w:rsidR="002B7539" w:rsidRPr="00A72A65" w:rsidRDefault="002B7539" w:rsidP="00A72A65">
            <w:pPr>
              <w:tabs>
                <w:tab w:val="left" w:pos="1787"/>
              </w:tabs>
              <w:jc w:val="both"/>
              <w:rPr>
                <w:rFonts w:asciiTheme="majorHAnsi" w:hAnsiTheme="majorHAnsi" w:cstheme="majorHAnsi"/>
                <w:sz w:val="20"/>
                <w:szCs w:val="20"/>
              </w:rPr>
            </w:pPr>
          </w:p>
        </w:tc>
        <w:tc>
          <w:tcPr>
            <w:tcW w:w="1275" w:type="dxa"/>
            <w:shd w:val="clear" w:color="auto" w:fill="auto"/>
          </w:tcPr>
          <w:p w14:paraId="25C3138A" w14:textId="77777777" w:rsidR="002B7539" w:rsidRPr="00A72A65" w:rsidRDefault="002B7539" w:rsidP="00A72A65">
            <w:pPr>
              <w:tabs>
                <w:tab w:val="left" w:pos="1787"/>
              </w:tabs>
              <w:jc w:val="both"/>
              <w:rPr>
                <w:rFonts w:asciiTheme="majorHAnsi" w:hAnsiTheme="majorHAnsi" w:cstheme="majorHAnsi"/>
                <w:sz w:val="20"/>
                <w:szCs w:val="20"/>
              </w:rPr>
            </w:pPr>
          </w:p>
        </w:tc>
      </w:tr>
      <w:tr w:rsidR="002B7539" w:rsidRPr="00A72A65" w14:paraId="5E6D119E" w14:textId="77777777">
        <w:trPr>
          <w:trHeight w:val="712"/>
        </w:trPr>
        <w:tc>
          <w:tcPr>
            <w:tcW w:w="1550" w:type="dxa"/>
            <w:shd w:val="clear" w:color="auto" w:fill="auto"/>
          </w:tcPr>
          <w:p w14:paraId="441A6BFD" w14:textId="77777777" w:rsidR="002B7539" w:rsidRPr="00A72A65" w:rsidRDefault="00A04F37" w:rsidP="00A72A65">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 xml:space="preserve">Recolección de información </w:t>
            </w:r>
          </w:p>
        </w:tc>
        <w:tc>
          <w:tcPr>
            <w:tcW w:w="1425" w:type="dxa"/>
            <w:shd w:val="clear" w:color="auto" w:fill="auto"/>
          </w:tcPr>
          <w:p w14:paraId="44ADA539" w14:textId="77777777" w:rsidR="002B7539" w:rsidRPr="00A72A65" w:rsidRDefault="002B7539" w:rsidP="00A72A65">
            <w:pPr>
              <w:tabs>
                <w:tab w:val="left" w:pos="1787"/>
              </w:tabs>
              <w:jc w:val="both"/>
              <w:rPr>
                <w:rFonts w:asciiTheme="majorHAnsi" w:hAnsiTheme="majorHAnsi" w:cstheme="majorHAnsi"/>
                <w:sz w:val="20"/>
                <w:szCs w:val="20"/>
              </w:rPr>
            </w:pPr>
          </w:p>
        </w:tc>
        <w:tc>
          <w:tcPr>
            <w:tcW w:w="1418" w:type="dxa"/>
            <w:shd w:val="clear" w:color="auto" w:fill="auto"/>
          </w:tcPr>
          <w:p w14:paraId="54A84D27" w14:textId="77777777" w:rsidR="002B7539" w:rsidRPr="00A72A65" w:rsidRDefault="002B7539" w:rsidP="00A72A65">
            <w:pPr>
              <w:tabs>
                <w:tab w:val="left" w:pos="1787"/>
              </w:tabs>
              <w:jc w:val="both"/>
              <w:rPr>
                <w:rFonts w:asciiTheme="majorHAnsi" w:hAnsiTheme="majorHAnsi" w:cstheme="majorHAnsi"/>
                <w:sz w:val="20"/>
                <w:szCs w:val="20"/>
              </w:rPr>
            </w:pPr>
          </w:p>
          <w:p w14:paraId="57A4BC04" w14:textId="77777777" w:rsidR="002B7539" w:rsidRPr="00A72A65" w:rsidRDefault="00A04F37" w:rsidP="00A72A65">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X</w:t>
            </w:r>
          </w:p>
          <w:p w14:paraId="65CDC00A" w14:textId="77777777" w:rsidR="002B7539" w:rsidRPr="00A72A65" w:rsidRDefault="002B7539" w:rsidP="00A72A65">
            <w:pPr>
              <w:tabs>
                <w:tab w:val="left" w:pos="1787"/>
              </w:tabs>
              <w:jc w:val="both"/>
              <w:rPr>
                <w:rFonts w:asciiTheme="majorHAnsi" w:hAnsiTheme="majorHAnsi" w:cstheme="majorHAnsi"/>
                <w:sz w:val="20"/>
                <w:szCs w:val="20"/>
              </w:rPr>
            </w:pPr>
          </w:p>
        </w:tc>
        <w:tc>
          <w:tcPr>
            <w:tcW w:w="1275" w:type="dxa"/>
            <w:shd w:val="clear" w:color="auto" w:fill="auto"/>
          </w:tcPr>
          <w:p w14:paraId="214D30A0" w14:textId="77777777" w:rsidR="002B7539" w:rsidRPr="00A72A65" w:rsidRDefault="002B7539" w:rsidP="00A72A65">
            <w:pPr>
              <w:tabs>
                <w:tab w:val="left" w:pos="1787"/>
              </w:tabs>
              <w:jc w:val="both"/>
              <w:rPr>
                <w:rFonts w:asciiTheme="majorHAnsi" w:hAnsiTheme="majorHAnsi" w:cstheme="majorHAnsi"/>
                <w:sz w:val="20"/>
                <w:szCs w:val="20"/>
              </w:rPr>
            </w:pPr>
          </w:p>
        </w:tc>
        <w:tc>
          <w:tcPr>
            <w:tcW w:w="1418" w:type="dxa"/>
            <w:shd w:val="clear" w:color="auto" w:fill="auto"/>
          </w:tcPr>
          <w:p w14:paraId="294F40AB" w14:textId="77777777" w:rsidR="002B7539" w:rsidRPr="00A72A65" w:rsidRDefault="002B7539" w:rsidP="00A72A65">
            <w:pPr>
              <w:tabs>
                <w:tab w:val="left" w:pos="1787"/>
              </w:tabs>
              <w:jc w:val="both"/>
              <w:rPr>
                <w:rFonts w:asciiTheme="majorHAnsi" w:hAnsiTheme="majorHAnsi" w:cstheme="majorHAnsi"/>
                <w:sz w:val="20"/>
                <w:szCs w:val="20"/>
              </w:rPr>
            </w:pPr>
          </w:p>
        </w:tc>
        <w:tc>
          <w:tcPr>
            <w:tcW w:w="1275" w:type="dxa"/>
            <w:shd w:val="clear" w:color="auto" w:fill="auto"/>
          </w:tcPr>
          <w:p w14:paraId="6070B217" w14:textId="77777777" w:rsidR="002B7539" w:rsidRPr="00A72A65" w:rsidRDefault="002B7539" w:rsidP="00A72A65">
            <w:pPr>
              <w:tabs>
                <w:tab w:val="left" w:pos="1787"/>
              </w:tabs>
              <w:jc w:val="both"/>
              <w:rPr>
                <w:rFonts w:asciiTheme="majorHAnsi" w:hAnsiTheme="majorHAnsi" w:cstheme="majorHAnsi"/>
                <w:sz w:val="20"/>
                <w:szCs w:val="20"/>
              </w:rPr>
            </w:pPr>
          </w:p>
        </w:tc>
      </w:tr>
      <w:tr w:rsidR="002B7539" w:rsidRPr="00A72A65" w14:paraId="1B649118" w14:textId="77777777">
        <w:tc>
          <w:tcPr>
            <w:tcW w:w="1550" w:type="dxa"/>
            <w:shd w:val="clear" w:color="auto" w:fill="auto"/>
          </w:tcPr>
          <w:p w14:paraId="1949BE81" w14:textId="77777777" w:rsidR="002B7539" w:rsidRPr="00A72A65" w:rsidRDefault="00A04F37" w:rsidP="00A72A65">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Procesamiento de datos</w:t>
            </w:r>
          </w:p>
        </w:tc>
        <w:tc>
          <w:tcPr>
            <w:tcW w:w="1425" w:type="dxa"/>
            <w:shd w:val="clear" w:color="auto" w:fill="auto"/>
          </w:tcPr>
          <w:p w14:paraId="3D1E281D" w14:textId="77777777" w:rsidR="002B7539" w:rsidRPr="00A72A65" w:rsidRDefault="002B7539" w:rsidP="00A72A65">
            <w:pPr>
              <w:tabs>
                <w:tab w:val="left" w:pos="1787"/>
              </w:tabs>
              <w:jc w:val="both"/>
              <w:rPr>
                <w:rFonts w:asciiTheme="majorHAnsi" w:hAnsiTheme="majorHAnsi" w:cstheme="majorHAnsi"/>
                <w:sz w:val="20"/>
                <w:szCs w:val="20"/>
              </w:rPr>
            </w:pPr>
          </w:p>
        </w:tc>
        <w:tc>
          <w:tcPr>
            <w:tcW w:w="1418" w:type="dxa"/>
            <w:shd w:val="clear" w:color="auto" w:fill="auto"/>
          </w:tcPr>
          <w:p w14:paraId="48F5C4CA" w14:textId="77777777" w:rsidR="002B7539" w:rsidRPr="00A72A65" w:rsidRDefault="002B7539" w:rsidP="00A72A65">
            <w:pPr>
              <w:tabs>
                <w:tab w:val="left" w:pos="1787"/>
              </w:tabs>
              <w:jc w:val="both"/>
              <w:rPr>
                <w:rFonts w:asciiTheme="majorHAnsi" w:hAnsiTheme="majorHAnsi" w:cstheme="majorHAnsi"/>
                <w:sz w:val="20"/>
                <w:szCs w:val="20"/>
              </w:rPr>
            </w:pPr>
          </w:p>
        </w:tc>
        <w:tc>
          <w:tcPr>
            <w:tcW w:w="1275" w:type="dxa"/>
            <w:shd w:val="clear" w:color="auto" w:fill="auto"/>
          </w:tcPr>
          <w:p w14:paraId="178B5493" w14:textId="77777777" w:rsidR="002B7539" w:rsidRPr="00A72A65" w:rsidRDefault="002B7539" w:rsidP="00A72A65">
            <w:pPr>
              <w:tabs>
                <w:tab w:val="left" w:pos="1787"/>
              </w:tabs>
              <w:jc w:val="both"/>
              <w:rPr>
                <w:rFonts w:asciiTheme="majorHAnsi" w:hAnsiTheme="majorHAnsi" w:cstheme="majorHAnsi"/>
                <w:sz w:val="20"/>
                <w:szCs w:val="20"/>
              </w:rPr>
            </w:pPr>
          </w:p>
          <w:p w14:paraId="5738410D" w14:textId="77777777" w:rsidR="002B7539" w:rsidRPr="00A72A65" w:rsidRDefault="00A04F37" w:rsidP="00A72A65">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X</w:t>
            </w:r>
          </w:p>
          <w:p w14:paraId="24246BA9" w14:textId="77777777" w:rsidR="002B7539" w:rsidRPr="00A72A65" w:rsidRDefault="002B7539" w:rsidP="00A72A65">
            <w:pPr>
              <w:tabs>
                <w:tab w:val="left" w:pos="1787"/>
              </w:tabs>
              <w:jc w:val="both"/>
              <w:rPr>
                <w:rFonts w:asciiTheme="majorHAnsi" w:hAnsiTheme="majorHAnsi" w:cstheme="majorHAnsi"/>
                <w:sz w:val="20"/>
                <w:szCs w:val="20"/>
              </w:rPr>
            </w:pPr>
          </w:p>
        </w:tc>
        <w:tc>
          <w:tcPr>
            <w:tcW w:w="1418" w:type="dxa"/>
            <w:shd w:val="clear" w:color="auto" w:fill="auto"/>
          </w:tcPr>
          <w:p w14:paraId="2443075D" w14:textId="77777777" w:rsidR="002B7539" w:rsidRPr="00A72A65" w:rsidRDefault="002B7539" w:rsidP="00A72A65">
            <w:pPr>
              <w:tabs>
                <w:tab w:val="left" w:pos="1787"/>
              </w:tabs>
              <w:jc w:val="both"/>
              <w:rPr>
                <w:rFonts w:asciiTheme="majorHAnsi" w:hAnsiTheme="majorHAnsi" w:cstheme="majorHAnsi"/>
                <w:sz w:val="20"/>
                <w:szCs w:val="20"/>
              </w:rPr>
            </w:pPr>
          </w:p>
        </w:tc>
        <w:tc>
          <w:tcPr>
            <w:tcW w:w="1275" w:type="dxa"/>
            <w:shd w:val="clear" w:color="auto" w:fill="auto"/>
          </w:tcPr>
          <w:p w14:paraId="3A7E53E0" w14:textId="77777777" w:rsidR="002B7539" w:rsidRPr="00A72A65" w:rsidRDefault="002B7539" w:rsidP="00A72A65">
            <w:pPr>
              <w:tabs>
                <w:tab w:val="left" w:pos="1787"/>
              </w:tabs>
              <w:jc w:val="both"/>
              <w:rPr>
                <w:rFonts w:asciiTheme="majorHAnsi" w:hAnsiTheme="majorHAnsi" w:cstheme="majorHAnsi"/>
                <w:sz w:val="20"/>
                <w:szCs w:val="20"/>
              </w:rPr>
            </w:pPr>
          </w:p>
        </w:tc>
      </w:tr>
      <w:tr w:rsidR="002B7539" w:rsidRPr="00A72A65" w14:paraId="51EFE6B5" w14:textId="77777777">
        <w:tc>
          <w:tcPr>
            <w:tcW w:w="1550" w:type="dxa"/>
            <w:shd w:val="clear" w:color="auto" w:fill="auto"/>
          </w:tcPr>
          <w:p w14:paraId="7C1EFB97" w14:textId="77777777" w:rsidR="002B7539" w:rsidRPr="00A72A65" w:rsidRDefault="00A04F37" w:rsidP="00A72A65">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Análisis de información</w:t>
            </w:r>
          </w:p>
        </w:tc>
        <w:tc>
          <w:tcPr>
            <w:tcW w:w="1425" w:type="dxa"/>
            <w:shd w:val="clear" w:color="auto" w:fill="auto"/>
          </w:tcPr>
          <w:p w14:paraId="4BA6C0B2" w14:textId="77777777" w:rsidR="002B7539" w:rsidRPr="00A72A65" w:rsidRDefault="002B7539" w:rsidP="00A72A65">
            <w:pPr>
              <w:tabs>
                <w:tab w:val="left" w:pos="1787"/>
              </w:tabs>
              <w:jc w:val="both"/>
              <w:rPr>
                <w:rFonts w:asciiTheme="majorHAnsi" w:hAnsiTheme="majorHAnsi" w:cstheme="majorHAnsi"/>
                <w:sz w:val="20"/>
                <w:szCs w:val="20"/>
              </w:rPr>
            </w:pPr>
          </w:p>
        </w:tc>
        <w:tc>
          <w:tcPr>
            <w:tcW w:w="1418" w:type="dxa"/>
            <w:shd w:val="clear" w:color="auto" w:fill="auto"/>
          </w:tcPr>
          <w:p w14:paraId="573B5BC8" w14:textId="77777777" w:rsidR="002B7539" w:rsidRPr="00A72A65" w:rsidRDefault="002B7539" w:rsidP="00A72A65">
            <w:pPr>
              <w:tabs>
                <w:tab w:val="left" w:pos="1787"/>
              </w:tabs>
              <w:jc w:val="both"/>
              <w:rPr>
                <w:rFonts w:asciiTheme="majorHAnsi" w:hAnsiTheme="majorHAnsi" w:cstheme="majorHAnsi"/>
                <w:sz w:val="20"/>
                <w:szCs w:val="20"/>
              </w:rPr>
            </w:pPr>
          </w:p>
        </w:tc>
        <w:tc>
          <w:tcPr>
            <w:tcW w:w="1275" w:type="dxa"/>
            <w:shd w:val="clear" w:color="auto" w:fill="auto"/>
          </w:tcPr>
          <w:p w14:paraId="1B3CEFCF" w14:textId="77777777" w:rsidR="002B7539" w:rsidRPr="00A72A65" w:rsidRDefault="002B7539" w:rsidP="00A72A65">
            <w:pPr>
              <w:tabs>
                <w:tab w:val="left" w:pos="1787"/>
              </w:tabs>
              <w:jc w:val="both"/>
              <w:rPr>
                <w:rFonts w:asciiTheme="majorHAnsi" w:hAnsiTheme="majorHAnsi" w:cstheme="majorHAnsi"/>
                <w:sz w:val="20"/>
                <w:szCs w:val="20"/>
              </w:rPr>
            </w:pPr>
          </w:p>
          <w:p w14:paraId="0BC89E1C" w14:textId="77777777" w:rsidR="002B7539" w:rsidRPr="00A72A65" w:rsidRDefault="00A04F37" w:rsidP="00A72A65">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X</w:t>
            </w:r>
          </w:p>
          <w:p w14:paraId="2A665DB5" w14:textId="77777777" w:rsidR="002B7539" w:rsidRPr="00A72A65" w:rsidRDefault="002B7539" w:rsidP="00A72A65">
            <w:pPr>
              <w:tabs>
                <w:tab w:val="left" w:pos="1787"/>
              </w:tabs>
              <w:jc w:val="both"/>
              <w:rPr>
                <w:rFonts w:asciiTheme="majorHAnsi" w:hAnsiTheme="majorHAnsi" w:cstheme="majorHAnsi"/>
                <w:sz w:val="20"/>
                <w:szCs w:val="20"/>
              </w:rPr>
            </w:pPr>
          </w:p>
        </w:tc>
        <w:tc>
          <w:tcPr>
            <w:tcW w:w="1418" w:type="dxa"/>
            <w:shd w:val="clear" w:color="auto" w:fill="auto"/>
          </w:tcPr>
          <w:p w14:paraId="3425B1CF" w14:textId="77777777" w:rsidR="002B7539" w:rsidRPr="00A72A65" w:rsidRDefault="002B7539" w:rsidP="00A72A65">
            <w:pPr>
              <w:tabs>
                <w:tab w:val="left" w:pos="1787"/>
              </w:tabs>
              <w:jc w:val="both"/>
              <w:rPr>
                <w:rFonts w:asciiTheme="majorHAnsi" w:hAnsiTheme="majorHAnsi" w:cstheme="majorHAnsi"/>
                <w:sz w:val="20"/>
                <w:szCs w:val="20"/>
              </w:rPr>
            </w:pPr>
          </w:p>
        </w:tc>
        <w:tc>
          <w:tcPr>
            <w:tcW w:w="1275" w:type="dxa"/>
            <w:shd w:val="clear" w:color="auto" w:fill="auto"/>
          </w:tcPr>
          <w:p w14:paraId="25232FDD" w14:textId="77777777" w:rsidR="002B7539" w:rsidRPr="00A72A65" w:rsidRDefault="002B7539" w:rsidP="00A72A65">
            <w:pPr>
              <w:tabs>
                <w:tab w:val="left" w:pos="1787"/>
              </w:tabs>
              <w:jc w:val="both"/>
              <w:rPr>
                <w:rFonts w:asciiTheme="majorHAnsi" w:hAnsiTheme="majorHAnsi" w:cstheme="majorHAnsi"/>
                <w:sz w:val="20"/>
                <w:szCs w:val="20"/>
              </w:rPr>
            </w:pPr>
          </w:p>
        </w:tc>
      </w:tr>
      <w:tr w:rsidR="002B7539" w:rsidRPr="00A72A65" w14:paraId="35925DCB" w14:textId="77777777">
        <w:trPr>
          <w:trHeight w:val="479"/>
        </w:trPr>
        <w:tc>
          <w:tcPr>
            <w:tcW w:w="1550" w:type="dxa"/>
            <w:shd w:val="clear" w:color="auto" w:fill="auto"/>
          </w:tcPr>
          <w:p w14:paraId="7B729B25" w14:textId="77777777" w:rsidR="002B7539" w:rsidRPr="00A72A65" w:rsidRDefault="00A04F37" w:rsidP="00A72A65">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 xml:space="preserve">Informe </w:t>
            </w:r>
          </w:p>
          <w:p w14:paraId="76B6E222" w14:textId="77777777" w:rsidR="002B7539" w:rsidRPr="00A72A65" w:rsidRDefault="002B7539" w:rsidP="00A72A65">
            <w:pPr>
              <w:tabs>
                <w:tab w:val="left" w:pos="1787"/>
              </w:tabs>
              <w:jc w:val="both"/>
              <w:rPr>
                <w:rFonts w:asciiTheme="majorHAnsi" w:hAnsiTheme="majorHAnsi" w:cstheme="majorHAnsi"/>
                <w:sz w:val="20"/>
                <w:szCs w:val="20"/>
              </w:rPr>
            </w:pPr>
          </w:p>
        </w:tc>
        <w:tc>
          <w:tcPr>
            <w:tcW w:w="1425" w:type="dxa"/>
            <w:shd w:val="clear" w:color="auto" w:fill="auto"/>
          </w:tcPr>
          <w:p w14:paraId="610E30C1" w14:textId="77777777" w:rsidR="002B7539" w:rsidRPr="00A72A65" w:rsidRDefault="002B7539" w:rsidP="00A72A65">
            <w:pPr>
              <w:tabs>
                <w:tab w:val="left" w:pos="1787"/>
              </w:tabs>
              <w:jc w:val="both"/>
              <w:rPr>
                <w:rFonts w:asciiTheme="majorHAnsi" w:hAnsiTheme="majorHAnsi" w:cstheme="majorHAnsi"/>
                <w:sz w:val="20"/>
                <w:szCs w:val="20"/>
              </w:rPr>
            </w:pPr>
          </w:p>
        </w:tc>
        <w:tc>
          <w:tcPr>
            <w:tcW w:w="1418" w:type="dxa"/>
            <w:shd w:val="clear" w:color="auto" w:fill="auto"/>
          </w:tcPr>
          <w:p w14:paraId="7871466F" w14:textId="77777777" w:rsidR="002B7539" w:rsidRPr="00A72A65" w:rsidRDefault="002B7539" w:rsidP="00A72A65">
            <w:pPr>
              <w:tabs>
                <w:tab w:val="left" w:pos="1787"/>
              </w:tabs>
              <w:jc w:val="both"/>
              <w:rPr>
                <w:rFonts w:asciiTheme="majorHAnsi" w:hAnsiTheme="majorHAnsi" w:cstheme="majorHAnsi"/>
                <w:sz w:val="20"/>
                <w:szCs w:val="20"/>
              </w:rPr>
            </w:pPr>
          </w:p>
        </w:tc>
        <w:tc>
          <w:tcPr>
            <w:tcW w:w="1275" w:type="dxa"/>
            <w:shd w:val="clear" w:color="auto" w:fill="auto"/>
          </w:tcPr>
          <w:p w14:paraId="2CA806DD" w14:textId="77777777" w:rsidR="002B7539" w:rsidRPr="00A72A65" w:rsidRDefault="002B7539" w:rsidP="00A72A65">
            <w:pPr>
              <w:tabs>
                <w:tab w:val="left" w:pos="1787"/>
              </w:tabs>
              <w:jc w:val="both"/>
              <w:rPr>
                <w:rFonts w:asciiTheme="majorHAnsi" w:hAnsiTheme="majorHAnsi" w:cstheme="majorHAnsi"/>
                <w:sz w:val="20"/>
                <w:szCs w:val="20"/>
              </w:rPr>
            </w:pPr>
          </w:p>
        </w:tc>
        <w:tc>
          <w:tcPr>
            <w:tcW w:w="1418" w:type="dxa"/>
            <w:shd w:val="clear" w:color="auto" w:fill="auto"/>
          </w:tcPr>
          <w:p w14:paraId="451C0D8C" w14:textId="77777777" w:rsidR="002B7539" w:rsidRPr="00A72A65" w:rsidRDefault="002B7539" w:rsidP="00A72A65">
            <w:pPr>
              <w:tabs>
                <w:tab w:val="left" w:pos="1787"/>
              </w:tabs>
              <w:jc w:val="both"/>
              <w:rPr>
                <w:rFonts w:asciiTheme="majorHAnsi" w:hAnsiTheme="majorHAnsi" w:cstheme="majorHAnsi"/>
                <w:sz w:val="20"/>
                <w:szCs w:val="20"/>
              </w:rPr>
            </w:pPr>
          </w:p>
          <w:p w14:paraId="604095B7" w14:textId="77777777" w:rsidR="002B7539" w:rsidRPr="00A72A65" w:rsidRDefault="00A04F37" w:rsidP="00A72A65">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X</w:t>
            </w:r>
          </w:p>
          <w:p w14:paraId="28BC6FDD" w14:textId="77777777" w:rsidR="002B7539" w:rsidRPr="00A72A65" w:rsidRDefault="002B7539" w:rsidP="00A72A65">
            <w:pPr>
              <w:tabs>
                <w:tab w:val="left" w:pos="1787"/>
              </w:tabs>
              <w:jc w:val="both"/>
              <w:rPr>
                <w:rFonts w:asciiTheme="majorHAnsi" w:hAnsiTheme="majorHAnsi" w:cstheme="majorHAnsi"/>
                <w:sz w:val="20"/>
                <w:szCs w:val="20"/>
              </w:rPr>
            </w:pPr>
          </w:p>
        </w:tc>
        <w:tc>
          <w:tcPr>
            <w:tcW w:w="1275" w:type="dxa"/>
            <w:shd w:val="clear" w:color="auto" w:fill="auto"/>
          </w:tcPr>
          <w:p w14:paraId="601C37B7" w14:textId="77777777" w:rsidR="002B7539" w:rsidRPr="00A72A65" w:rsidRDefault="002B7539" w:rsidP="00A72A65">
            <w:pPr>
              <w:tabs>
                <w:tab w:val="left" w:pos="1787"/>
              </w:tabs>
              <w:jc w:val="both"/>
              <w:rPr>
                <w:rFonts w:asciiTheme="majorHAnsi" w:hAnsiTheme="majorHAnsi" w:cstheme="majorHAnsi"/>
                <w:sz w:val="20"/>
                <w:szCs w:val="20"/>
              </w:rPr>
            </w:pPr>
          </w:p>
        </w:tc>
      </w:tr>
      <w:tr w:rsidR="002B7539" w:rsidRPr="00A72A65" w14:paraId="175C85EA" w14:textId="77777777">
        <w:tc>
          <w:tcPr>
            <w:tcW w:w="1550" w:type="dxa"/>
            <w:shd w:val="clear" w:color="auto" w:fill="auto"/>
          </w:tcPr>
          <w:p w14:paraId="4B250751" w14:textId="77777777" w:rsidR="002B7539" w:rsidRPr="00A72A65" w:rsidRDefault="00A04F37" w:rsidP="00A72A65">
            <w:pPr>
              <w:tabs>
                <w:tab w:val="left" w:pos="1787"/>
              </w:tabs>
              <w:jc w:val="both"/>
              <w:rPr>
                <w:rFonts w:asciiTheme="majorHAnsi" w:hAnsiTheme="majorHAnsi" w:cstheme="majorHAnsi"/>
                <w:sz w:val="20"/>
                <w:szCs w:val="20"/>
                <w:lang w:val="es-UY"/>
              </w:rPr>
            </w:pPr>
            <w:r w:rsidRPr="00A72A65">
              <w:rPr>
                <w:rFonts w:asciiTheme="majorHAnsi" w:hAnsiTheme="majorHAnsi" w:cstheme="majorHAnsi"/>
                <w:sz w:val="20"/>
                <w:szCs w:val="20"/>
                <w:lang w:val="es-UY"/>
              </w:rPr>
              <w:t>Confección de articulo para revista</w:t>
            </w:r>
          </w:p>
        </w:tc>
        <w:tc>
          <w:tcPr>
            <w:tcW w:w="1425" w:type="dxa"/>
            <w:shd w:val="clear" w:color="auto" w:fill="auto"/>
          </w:tcPr>
          <w:p w14:paraId="66968EB5" w14:textId="77777777" w:rsidR="002B7539" w:rsidRPr="00A72A65" w:rsidRDefault="002B7539" w:rsidP="00A72A65">
            <w:pPr>
              <w:tabs>
                <w:tab w:val="left" w:pos="1787"/>
              </w:tabs>
              <w:jc w:val="both"/>
              <w:rPr>
                <w:rFonts w:asciiTheme="majorHAnsi" w:hAnsiTheme="majorHAnsi" w:cstheme="majorHAnsi"/>
                <w:sz w:val="20"/>
                <w:szCs w:val="20"/>
                <w:lang w:val="es-UY"/>
              </w:rPr>
            </w:pPr>
          </w:p>
        </w:tc>
        <w:tc>
          <w:tcPr>
            <w:tcW w:w="1418" w:type="dxa"/>
            <w:shd w:val="clear" w:color="auto" w:fill="auto"/>
          </w:tcPr>
          <w:p w14:paraId="38ED9F41" w14:textId="77777777" w:rsidR="002B7539" w:rsidRPr="00A72A65" w:rsidRDefault="002B7539" w:rsidP="00A72A65">
            <w:pPr>
              <w:tabs>
                <w:tab w:val="left" w:pos="1787"/>
              </w:tabs>
              <w:jc w:val="both"/>
              <w:rPr>
                <w:rFonts w:asciiTheme="majorHAnsi" w:hAnsiTheme="majorHAnsi" w:cstheme="majorHAnsi"/>
                <w:sz w:val="20"/>
                <w:szCs w:val="20"/>
                <w:lang w:val="es-UY"/>
              </w:rPr>
            </w:pPr>
          </w:p>
        </w:tc>
        <w:tc>
          <w:tcPr>
            <w:tcW w:w="1275" w:type="dxa"/>
            <w:shd w:val="clear" w:color="auto" w:fill="auto"/>
          </w:tcPr>
          <w:p w14:paraId="0F0350DD" w14:textId="77777777" w:rsidR="002B7539" w:rsidRPr="00A72A65" w:rsidRDefault="002B7539" w:rsidP="00A72A65">
            <w:pPr>
              <w:tabs>
                <w:tab w:val="left" w:pos="1787"/>
              </w:tabs>
              <w:jc w:val="both"/>
              <w:rPr>
                <w:rFonts w:asciiTheme="majorHAnsi" w:hAnsiTheme="majorHAnsi" w:cstheme="majorHAnsi"/>
                <w:sz w:val="20"/>
                <w:szCs w:val="20"/>
                <w:lang w:val="es-UY"/>
              </w:rPr>
            </w:pPr>
          </w:p>
        </w:tc>
        <w:tc>
          <w:tcPr>
            <w:tcW w:w="1418" w:type="dxa"/>
            <w:shd w:val="clear" w:color="auto" w:fill="auto"/>
          </w:tcPr>
          <w:p w14:paraId="0D41F65F" w14:textId="77777777" w:rsidR="002B7539" w:rsidRPr="00A72A65" w:rsidRDefault="002B7539" w:rsidP="00A72A65">
            <w:pPr>
              <w:tabs>
                <w:tab w:val="left" w:pos="1787"/>
              </w:tabs>
              <w:jc w:val="both"/>
              <w:rPr>
                <w:rFonts w:asciiTheme="majorHAnsi" w:hAnsiTheme="majorHAnsi" w:cstheme="majorHAnsi"/>
                <w:sz w:val="20"/>
                <w:szCs w:val="20"/>
                <w:lang w:val="es-UY"/>
              </w:rPr>
            </w:pPr>
          </w:p>
        </w:tc>
        <w:tc>
          <w:tcPr>
            <w:tcW w:w="1275" w:type="dxa"/>
            <w:shd w:val="clear" w:color="auto" w:fill="auto"/>
          </w:tcPr>
          <w:p w14:paraId="369543F3" w14:textId="77777777" w:rsidR="002B7539" w:rsidRPr="00A72A65" w:rsidRDefault="00A04F37" w:rsidP="00A72A65">
            <w:pPr>
              <w:tabs>
                <w:tab w:val="left" w:pos="1787"/>
              </w:tabs>
              <w:jc w:val="both"/>
              <w:rPr>
                <w:rFonts w:asciiTheme="majorHAnsi" w:hAnsiTheme="majorHAnsi" w:cstheme="majorHAnsi"/>
                <w:sz w:val="20"/>
                <w:szCs w:val="20"/>
              </w:rPr>
            </w:pPr>
            <w:r w:rsidRPr="00A72A65">
              <w:rPr>
                <w:rFonts w:asciiTheme="majorHAnsi" w:hAnsiTheme="majorHAnsi" w:cstheme="majorHAnsi"/>
                <w:sz w:val="20"/>
                <w:szCs w:val="20"/>
              </w:rPr>
              <w:t>X</w:t>
            </w:r>
          </w:p>
        </w:tc>
      </w:tr>
    </w:tbl>
    <w:p w14:paraId="538A242B" w14:textId="77777777" w:rsidR="002B7539" w:rsidRPr="00A72A65" w:rsidRDefault="002B7539" w:rsidP="00A72A65">
      <w:pPr>
        <w:tabs>
          <w:tab w:val="left" w:pos="1787"/>
        </w:tabs>
        <w:jc w:val="both"/>
        <w:rPr>
          <w:rFonts w:asciiTheme="majorHAnsi" w:hAnsiTheme="majorHAnsi" w:cstheme="majorHAnsi"/>
          <w:sz w:val="20"/>
          <w:szCs w:val="20"/>
        </w:rPr>
      </w:pPr>
    </w:p>
    <w:p w14:paraId="759A6E5E" w14:textId="77777777" w:rsidR="002B7539" w:rsidRPr="00A72A65" w:rsidRDefault="002B7539" w:rsidP="00A72A65">
      <w:pPr>
        <w:spacing w:line="360" w:lineRule="auto"/>
        <w:jc w:val="both"/>
        <w:rPr>
          <w:rFonts w:asciiTheme="majorHAnsi" w:hAnsiTheme="majorHAnsi" w:cstheme="majorHAnsi"/>
          <w:sz w:val="20"/>
          <w:szCs w:val="20"/>
          <w:lang w:val="es-PE"/>
        </w:rPr>
      </w:pPr>
    </w:p>
    <w:p w14:paraId="44D648B9" w14:textId="77777777" w:rsidR="007E4586" w:rsidRDefault="007E4586" w:rsidP="00A72A65">
      <w:pPr>
        <w:spacing w:line="360" w:lineRule="auto"/>
        <w:jc w:val="both"/>
        <w:rPr>
          <w:rFonts w:asciiTheme="majorHAnsi" w:hAnsiTheme="majorHAnsi" w:cstheme="majorHAnsi"/>
          <w:b/>
          <w:sz w:val="20"/>
          <w:szCs w:val="20"/>
          <w:lang w:val="es-PE"/>
        </w:rPr>
      </w:pPr>
    </w:p>
    <w:p w14:paraId="74CB3B20" w14:textId="77777777" w:rsidR="007E4586" w:rsidRDefault="007E4586" w:rsidP="00A72A65">
      <w:pPr>
        <w:spacing w:line="360" w:lineRule="auto"/>
        <w:jc w:val="both"/>
        <w:rPr>
          <w:rFonts w:asciiTheme="majorHAnsi" w:hAnsiTheme="majorHAnsi" w:cstheme="majorHAnsi"/>
          <w:b/>
          <w:sz w:val="20"/>
          <w:szCs w:val="20"/>
          <w:lang w:val="es-PE"/>
        </w:rPr>
      </w:pPr>
    </w:p>
    <w:p w14:paraId="562AFCAD" w14:textId="77777777" w:rsidR="007E4586" w:rsidRDefault="007E4586" w:rsidP="00A72A65">
      <w:pPr>
        <w:spacing w:line="360" w:lineRule="auto"/>
        <w:jc w:val="both"/>
        <w:rPr>
          <w:rFonts w:asciiTheme="majorHAnsi" w:hAnsiTheme="majorHAnsi" w:cstheme="majorHAnsi"/>
          <w:b/>
          <w:sz w:val="20"/>
          <w:szCs w:val="20"/>
          <w:lang w:val="es-PE"/>
        </w:rPr>
      </w:pPr>
    </w:p>
    <w:p w14:paraId="25862C68" w14:textId="77777777" w:rsidR="007E4586" w:rsidRDefault="007E4586" w:rsidP="00A72A65">
      <w:pPr>
        <w:spacing w:line="360" w:lineRule="auto"/>
        <w:jc w:val="both"/>
        <w:rPr>
          <w:rFonts w:asciiTheme="majorHAnsi" w:hAnsiTheme="majorHAnsi" w:cstheme="majorHAnsi"/>
          <w:b/>
          <w:sz w:val="20"/>
          <w:szCs w:val="20"/>
          <w:lang w:val="es-PE"/>
        </w:rPr>
      </w:pPr>
    </w:p>
    <w:p w14:paraId="0482B30D" w14:textId="77777777" w:rsidR="007E4586" w:rsidRDefault="007E4586" w:rsidP="00A72A65">
      <w:pPr>
        <w:spacing w:line="360" w:lineRule="auto"/>
        <w:jc w:val="both"/>
        <w:rPr>
          <w:rFonts w:asciiTheme="majorHAnsi" w:hAnsiTheme="majorHAnsi" w:cstheme="majorHAnsi"/>
          <w:b/>
          <w:sz w:val="20"/>
          <w:szCs w:val="20"/>
          <w:lang w:val="es-PE"/>
        </w:rPr>
      </w:pPr>
    </w:p>
    <w:p w14:paraId="328B26CB" w14:textId="77777777" w:rsidR="007E4586" w:rsidRDefault="007E4586" w:rsidP="00A72A65">
      <w:pPr>
        <w:spacing w:line="360" w:lineRule="auto"/>
        <w:jc w:val="both"/>
        <w:rPr>
          <w:rFonts w:asciiTheme="majorHAnsi" w:hAnsiTheme="majorHAnsi" w:cstheme="majorHAnsi"/>
          <w:b/>
          <w:sz w:val="20"/>
          <w:szCs w:val="20"/>
          <w:lang w:val="es-PE"/>
        </w:rPr>
      </w:pPr>
    </w:p>
    <w:p w14:paraId="2A70D2C7" w14:textId="77777777" w:rsidR="007E4586" w:rsidRDefault="007E4586" w:rsidP="00A72A65">
      <w:pPr>
        <w:spacing w:line="360" w:lineRule="auto"/>
        <w:jc w:val="both"/>
        <w:rPr>
          <w:rFonts w:asciiTheme="majorHAnsi" w:hAnsiTheme="majorHAnsi" w:cstheme="majorHAnsi"/>
          <w:b/>
          <w:sz w:val="20"/>
          <w:szCs w:val="20"/>
          <w:lang w:val="es-PE"/>
        </w:rPr>
      </w:pPr>
    </w:p>
    <w:p w14:paraId="18CDBE24" w14:textId="77777777" w:rsidR="007E4586" w:rsidRDefault="007E4586" w:rsidP="00A72A65">
      <w:pPr>
        <w:spacing w:line="360" w:lineRule="auto"/>
        <w:jc w:val="both"/>
        <w:rPr>
          <w:rFonts w:asciiTheme="majorHAnsi" w:hAnsiTheme="majorHAnsi" w:cstheme="majorHAnsi"/>
          <w:b/>
          <w:sz w:val="20"/>
          <w:szCs w:val="20"/>
          <w:lang w:val="es-PE"/>
        </w:rPr>
      </w:pPr>
    </w:p>
    <w:p w14:paraId="43230797" w14:textId="77777777" w:rsidR="007E4586" w:rsidRDefault="007E4586" w:rsidP="00A72A65">
      <w:pPr>
        <w:spacing w:line="360" w:lineRule="auto"/>
        <w:jc w:val="both"/>
        <w:rPr>
          <w:rFonts w:asciiTheme="majorHAnsi" w:hAnsiTheme="majorHAnsi" w:cstheme="majorHAnsi"/>
          <w:b/>
          <w:sz w:val="20"/>
          <w:szCs w:val="20"/>
          <w:lang w:val="es-PE"/>
        </w:rPr>
      </w:pPr>
    </w:p>
    <w:p w14:paraId="08B8197C" w14:textId="77777777" w:rsidR="007E4586" w:rsidRDefault="007E4586" w:rsidP="00A72A65">
      <w:pPr>
        <w:spacing w:line="360" w:lineRule="auto"/>
        <w:jc w:val="both"/>
        <w:rPr>
          <w:rFonts w:asciiTheme="majorHAnsi" w:hAnsiTheme="majorHAnsi" w:cstheme="majorHAnsi"/>
          <w:b/>
          <w:sz w:val="20"/>
          <w:szCs w:val="20"/>
          <w:lang w:val="es-PE"/>
        </w:rPr>
      </w:pPr>
    </w:p>
    <w:p w14:paraId="033A5A59" w14:textId="77777777" w:rsidR="007E4586" w:rsidRDefault="007E4586" w:rsidP="00A72A65">
      <w:pPr>
        <w:spacing w:line="360" w:lineRule="auto"/>
        <w:jc w:val="both"/>
        <w:rPr>
          <w:rFonts w:asciiTheme="majorHAnsi" w:hAnsiTheme="majorHAnsi" w:cstheme="majorHAnsi"/>
          <w:b/>
          <w:sz w:val="20"/>
          <w:szCs w:val="20"/>
          <w:lang w:val="es-PE"/>
        </w:rPr>
      </w:pPr>
    </w:p>
    <w:p w14:paraId="14E91DFD" w14:textId="77777777" w:rsidR="007E4586" w:rsidRDefault="007E4586" w:rsidP="00A72A65">
      <w:pPr>
        <w:spacing w:line="360" w:lineRule="auto"/>
        <w:jc w:val="both"/>
        <w:rPr>
          <w:rFonts w:asciiTheme="majorHAnsi" w:hAnsiTheme="majorHAnsi" w:cstheme="majorHAnsi"/>
          <w:b/>
          <w:sz w:val="20"/>
          <w:szCs w:val="20"/>
          <w:lang w:val="es-PE"/>
        </w:rPr>
      </w:pPr>
    </w:p>
    <w:p w14:paraId="28713350" w14:textId="77777777" w:rsidR="007E4586" w:rsidRDefault="007E4586" w:rsidP="00A72A65">
      <w:pPr>
        <w:spacing w:line="360" w:lineRule="auto"/>
        <w:jc w:val="both"/>
        <w:rPr>
          <w:rFonts w:asciiTheme="majorHAnsi" w:hAnsiTheme="majorHAnsi" w:cstheme="majorHAnsi"/>
          <w:b/>
          <w:sz w:val="20"/>
          <w:szCs w:val="20"/>
          <w:lang w:val="es-PE"/>
        </w:rPr>
      </w:pPr>
    </w:p>
    <w:p w14:paraId="7E11F72E" w14:textId="77777777" w:rsidR="007E4586" w:rsidRDefault="007E4586" w:rsidP="00A72A65">
      <w:pPr>
        <w:spacing w:line="360" w:lineRule="auto"/>
        <w:jc w:val="both"/>
        <w:rPr>
          <w:rFonts w:asciiTheme="majorHAnsi" w:hAnsiTheme="majorHAnsi" w:cstheme="majorHAnsi"/>
          <w:b/>
          <w:sz w:val="20"/>
          <w:szCs w:val="20"/>
          <w:lang w:val="es-PE"/>
        </w:rPr>
      </w:pPr>
    </w:p>
    <w:p w14:paraId="6D9AE70C" w14:textId="77777777" w:rsidR="007E4586" w:rsidRDefault="007E4586" w:rsidP="00A72A65">
      <w:pPr>
        <w:spacing w:line="360" w:lineRule="auto"/>
        <w:jc w:val="both"/>
        <w:rPr>
          <w:rFonts w:asciiTheme="majorHAnsi" w:hAnsiTheme="majorHAnsi" w:cstheme="majorHAnsi"/>
          <w:b/>
          <w:sz w:val="20"/>
          <w:szCs w:val="20"/>
          <w:lang w:val="es-PE"/>
        </w:rPr>
      </w:pPr>
    </w:p>
    <w:p w14:paraId="619C7308" w14:textId="77777777" w:rsidR="007E4586" w:rsidRDefault="007E4586" w:rsidP="00A72A65">
      <w:pPr>
        <w:spacing w:line="360" w:lineRule="auto"/>
        <w:jc w:val="both"/>
        <w:rPr>
          <w:rFonts w:asciiTheme="majorHAnsi" w:hAnsiTheme="majorHAnsi" w:cstheme="majorHAnsi"/>
          <w:b/>
          <w:sz w:val="20"/>
          <w:szCs w:val="20"/>
          <w:lang w:val="es-PE"/>
        </w:rPr>
      </w:pPr>
    </w:p>
    <w:p w14:paraId="7A0212F0" w14:textId="77777777" w:rsidR="007E4586" w:rsidRDefault="007E4586" w:rsidP="00A72A65">
      <w:pPr>
        <w:spacing w:line="360" w:lineRule="auto"/>
        <w:jc w:val="both"/>
        <w:rPr>
          <w:rFonts w:asciiTheme="majorHAnsi" w:hAnsiTheme="majorHAnsi" w:cstheme="majorHAnsi"/>
          <w:b/>
          <w:sz w:val="20"/>
          <w:szCs w:val="20"/>
          <w:lang w:val="es-PE"/>
        </w:rPr>
      </w:pPr>
    </w:p>
    <w:p w14:paraId="02628087" w14:textId="77777777" w:rsidR="007E4586" w:rsidRDefault="007E4586" w:rsidP="00A72A65">
      <w:pPr>
        <w:spacing w:line="360" w:lineRule="auto"/>
        <w:jc w:val="both"/>
        <w:rPr>
          <w:rFonts w:asciiTheme="majorHAnsi" w:hAnsiTheme="majorHAnsi" w:cstheme="majorHAnsi"/>
          <w:b/>
          <w:sz w:val="20"/>
          <w:szCs w:val="20"/>
          <w:lang w:val="es-PE"/>
        </w:rPr>
      </w:pPr>
    </w:p>
    <w:p w14:paraId="72E842FA" w14:textId="77777777" w:rsidR="007E4586" w:rsidRDefault="007E4586" w:rsidP="00A72A65">
      <w:pPr>
        <w:spacing w:line="360" w:lineRule="auto"/>
        <w:jc w:val="both"/>
        <w:rPr>
          <w:rFonts w:asciiTheme="majorHAnsi" w:hAnsiTheme="majorHAnsi" w:cstheme="majorHAnsi"/>
          <w:b/>
          <w:sz w:val="20"/>
          <w:szCs w:val="20"/>
          <w:lang w:val="es-PE"/>
        </w:rPr>
      </w:pPr>
    </w:p>
    <w:p w14:paraId="408909CE" w14:textId="17E97989" w:rsidR="002B7539" w:rsidRPr="00A72A65" w:rsidRDefault="00A04F37" w:rsidP="00A72A65">
      <w:pPr>
        <w:spacing w:line="360" w:lineRule="auto"/>
        <w:jc w:val="both"/>
        <w:rPr>
          <w:rFonts w:asciiTheme="majorHAnsi" w:hAnsiTheme="majorHAnsi" w:cstheme="majorHAnsi"/>
        </w:rPr>
      </w:pPr>
      <w:r w:rsidRPr="00A72A65">
        <w:rPr>
          <w:rFonts w:asciiTheme="majorHAnsi" w:hAnsiTheme="majorHAnsi" w:cstheme="majorHAnsi"/>
          <w:b/>
          <w:sz w:val="20"/>
          <w:szCs w:val="20"/>
          <w:lang w:val="es-PE"/>
        </w:rPr>
        <w:lastRenderedPageBreak/>
        <w:t>ANEXO I.</w:t>
      </w:r>
      <w:r w:rsidR="000A3379" w:rsidRPr="00A72A65">
        <w:rPr>
          <w:rFonts w:asciiTheme="majorHAnsi" w:hAnsiTheme="majorHAnsi" w:cstheme="majorHAnsi"/>
          <w:b/>
          <w:sz w:val="20"/>
          <w:szCs w:val="20"/>
          <w:lang w:val="es-PE"/>
        </w:rPr>
        <w:t xml:space="preserve"> </w:t>
      </w:r>
      <w:r w:rsidRPr="00A72A65">
        <w:rPr>
          <w:rFonts w:asciiTheme="majorHAnsi" w:hAnsiTheme="majorHAnsi" w:cstheme="majorHAnsi"/>
          <w:b/>
          <w:sz w:val="20"/>
          <w:szCs w:val="20"/>
          <w:lang w:val="es-PE"/>
        </w:rPr>
        <w:t xml:space="preserve">Planilla de recolección de datos. </w:t>
      </w:r>
    </w:p>
    <w:sectPr w:rsidR="002B7539" w:rsidRPr="00A72A65">
      <w:headerReference w:type="default" r:id="rId8"/>
      <w:footerReference w:type="default" r:id="rId9"/>
      <w:pgSz w:w="11906" w:h="16838"/>
      <w:pgMar w:top="1417"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4B63D" w14:textId="77777777" w:rsidR="00355DFE" w:rsidRDefault="00355DFE">
      <w:r>
        <w:separator/>
      </w:r>
    </w:p>
  </w:endnote>
  <w:endnote w:type="continuationSeparator" w:id="0">
    <w:p w14:paraId="49E14A75" w14:textId="77777777" w:rsidR="00355DFE" w:rsidRDefault="0035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S Mincho">
    <w:panose1 w:val="02020609040205080304"/>
    <w:charset w:val="80"/>
    <w:family w:val="auto"/>
    <w:pitch w:val="variable"/>
    <w:sig w:usb0="E00002FF" w:usb1="6AC7FDFB" w:usb2="08000012" w:usb3="00000000" w:csb0="0002009F" w:csb1="00000000"/>
  </w:font>
  <w:font w:name="Liberation Sans">
    <w:charset w:val="00"/>
    <w:family w:val="swiss"/>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Monotype Corsiva">
    <w:panose1 w:val="03010101010201010101"/>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C016F" w14:textId="77777777" w:rsidR="002B7539" w:rsidRDefault="00A04F37">
    <w:pPr>
      <w:pStyle w:val="Piedepgina"/>
      <w:tabs>
        <w:tab w:val="left" w:pos="5442"/>
      </w:tabs>
      <w:ind w:right="360"/>
    </w:pPr>
    <w:r>
      <w:tab/>
    </w:r>
    <w:r>
      <w:rPr>
        <w:noProof/>
        <w:lang w:eastAsia="es-ES_tradnl"/>
      </w:rPr>
      <mc:AlternateContent>
        <mc:Choice Requires="wps">
          <w:drawing>
            <wp:anchor distT="0" distB="0" distL="0" distR="0" simplePos="0" relativeHeight="11" behindDoc="0" locked="0" layoutInCell="1" allowOverlap="1" wp14:anchorId="6D91AA3A" wp14:editId="083C5617">
              <wp:simplePos x="0" y="0"/>
              <wp:positionH relativeFrom="margin">
                <wp:align>right</wp:align>
              </wp:positionH>
              <wp:positionV relativeFrom="paragraph">
                <wp:posOffset>635</wp:posOffset>
              </wp:positionV>
              <wp:extent cx="184785" cy="175260"/>
              <wp:effectExtent l="0" t="0" r="0" b="0"/>
              <wp:wrapNone/>
              <wp:docPr id="1" name="Marco1"/>
              <wp:cNvGraphicFramePr/>
              <a:graphic xmlns:a="http://schemas.openxmlformats.org/drawingml/2006/main">
                <a:graphicData uri="http://schemas.microsoft.com/office/word/2010/wordprocessingShape">
                  <wps:wsp>
                    <wps:cNvSpPr txBox="1"/>
                    <wps:spPr>
                      <a:xfrm>
                        <a:off x="0" y="0"/>
                        <a:ext cx="184785" cy="175260"/>
                      </a:xfrm>
                      <a:prstGeom prst="rect">
                        <a:avLst/>
                      </a:prstGeom>
                      <a:solidFill>
                        <a:srgbClr val="FFFFFF">
                          <a:alpha val="0"/>
                        </a:srgbClr>
                      </a:solidFill>
                    </wps:spPr>
                    <wps:txbx>
                      <w:txbxContent>
                        <w:p w14:paraId="0DBF7884" w14:textId="77777777" w:rsidR="002B7539" w:rsidRDefault="00A04F37">
                          <w:pPr>
                            <w:pStyle w:val="Piedepgina"/>
                          </w:pPr>
                          <w:r>
                            <w:rPr>
                              <w:rStyle w:val="Nmerodepgina"/>
                            </w:rPr>
                            <w:fldChar w:fldCharType="begin"/>
                          </w:r>
                          <w:r>
                            <w:rPr>
                              <w:rStyle w:val="Nmerodepgina"/>
                            </w:rPr>
                            <w:instrText>PAGE</w:instrText>
                          </w:r>
                          <w:r>
                            <w:rPr>
                              <w:rStyle w:val="Nmerodepgina"/>
                            </w:rPr>
                            <w:fldChar w:fldCharType="separate"/>
                          </w:r>
                          <w:r w:rsidR="00B24FCF">
                            <w:rPr>
                              <w:rStyle w:val="Nmerodepgina"/>
                              <w:noProof/>
                            </w:rPr>
                            <w:t>1</w:t>
                          </w:r>
                          <w:r>
                            <w:rPr>
                              <w:rStyle w:val="Nmerodepgina"/>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D91AA3A" id="_x0000_t202" coordsize="21600,21600" o:spt="202" path="m,l,21600r21600,l21600,xe">
              <v:stroke joinstyle="miter"/>
              <v:path gradientshapeok="t" o:connecttype="rect"/>
            </v:shapetype>
            <v:shape id="Marco1" o:spid="_x0000_s1026" type="#_x0000_t202" style="position:absolute;margin-left:-36.65pt;margin-top:.05pt;width:14.55pt;height:13.8pt;z-index:1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" stroked="f">
              <v:fill opacity="0"/>
              <v:textbox style="mso-fit-shape-to-text:t" inset="0,0,0,0">
                <w:txbxContent>
                  <w:p w14:paraId="0DBF7884" w14:textId="77777777" w:rsidR="002B7539" w:rsidRDefault="00A04F37">
                    <w:pPr>
                      <w:pStyle w:val="Piedepgina"/>
                    </w:pPr>
                    <w:r>
                      <w:rPr>
                        <w:rStyle w:val="Nmerodepgina"/>
                      </w:rPr>
                      <w:fldChar w:fldCharType="begin"/>
                    </w:r>
                    <w:r>
                      <w:rPr>
                        <w:rStyle w:val="Nmerodepgina"/>
                      </w:rPr>
                      <w:instrText>PAGE</w:instrText>
                    </w:r>
                    <w:r>
                      <w:rPr>
                        <w:rStyle w:val="Nmerodepgina"/>
                      </w:rPr>
                      <w:fldChar w:fldCharType="separate"/>
                    </w:r>
                    <w:r>
                      <w:rPr>
                        <w:rStyle w:val="Nmerodepgina"/>
                      </w:rPr>
                      <w:t>10</w:t>
                    </w:r>
                    <w:r>
                      <w:rPr>
                        <w:rStyle w:val="Nmerodepgina"/>
                      </w:rPr>
                      <w:fldChar w:fldCharType="end"/>
                    </w:r>
                  </w:p>
                </w:txbxContent>
              </v:textbox>
              <w10:wrap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ABF0D" w14:textId="77777777" w:rsidR="00355DFE" w:rsidRDefault="00355DFE">
      <w:r>
        <w:separator/>
      </w:r>
    </w:p>
  </w:footnote>
  <w:footnote w:type="continuationSeparator" w:id="0">
    <w:p w14:paraId="293CC271" w14:textId="77777777" w:rsidR="00355DFE" w:rsidRDefault="00355D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88A41" w14:textId="77777777" w:rsidR="002B7539" w:rsidRDefault="002B7539">
    <w:pPr>
      <w:pStyle w:val="Encabezado"/>
    </w:pPr>
  </w:p>
  <w:p w14:paraId="060CC405" w14:textId="77777777" w:rsidR="002B7539" w:rsidRDefault="002B7539">
    <w:pPr>
      <w:pStyle w:val="Encabezado"/>
    </w:pPr>
  </w:p>
  <w:p w14:paraId="32C8B694" w14:textId="77777777" w:rsidR="002B7539" w:rsidRDefault="002B7539">
    <w:pPr>
      <w:pStyle w:val="Encabezado"/>
    </w:pPr>
  </w:p>
  <w:p w14:paraId="59111F89" w14:textId="77777777" w:rsidR="002B7539" w:rsidRDefault="00A04F37">
    <w:pPr>
      <w:pStyle w:val="Encabezado"/>
      <w:tabs>
        <w:tab w:val="left" w:pos="900"/>
      </w:tabs>
      <w:rPr>
        <w:rFonts w:ascii="Monotype Corsiva" w:hAnsi="Monotype Corsiva"/>
        <w:b/>
        <w:sz w:val="18"/>
        <w:szCs w:val="18"/>
      </w:rPr>
    </w:pPr>
    <w:r>
      <w:rPr>
        <w:rFonts w:ascii="Monotype Corsiva" w:hAnsi="Monotype Corsiva"/>
        <w:b/>
        <w:sz w:val="18"/>
        <w:szCs w:val="18"/>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B0124"/>
    <w:multiLevelType w:val="multilevel"/>
    <w:tmpl w:val="CEC8464C"/>
    <w:lvl w:ilvl="0">
      <w:start w:val="6"/>
      <w:numFmt w:val="bullet"/>
      <w:lvlText w:val="-"/>
      <w:lvlJc w:val="left"/>
      <w:pPr>
        <w:ind w:left="720" w:hanging="360"/>
      </w:pPr>
      <w:rPr>
        <w:rFonts w:ascii="Cambria" w:hAnsi="Cambria" w:cs="Cambria" w:hint="default"/>
        <w:sz w:val="20"/>
      </w:rPr>
    </w:lvl>
    <w:lvl w:ilvl="1">
      <w:start w:val="1"/>
      <w:numFmt w:val="bullet"/>
      <w:lvlText w:val="-"/>
      <w:lvlJc w:val="left"/>
      <w:pPr>
        <w:ind w:left="2345" w:hanging="710"/>
      </w:pPr>
      <w:rPr>
        <w:rFonts w:ascii="Arial" w:hAnsi="Arial" w:cs="Arial"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1">
    <w:nsid w:val="10471770"/>
    <w:multiLevelType w:val="multilevel"/>
    <w:tmpl w:val="A88458E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3331325"/>
    <w:multiLevelType w:val="multilevel"/>
    <w:tmpl w:val="5344ABF4"/>
    <w:lvl w:ilvl="0">
      <w:start w:val="6"/>
      <w:numFmt w:val="bullet"/>
      <w:lvlText w:val="-"/>
      <w:lvlJc w:val="left"/>
      <w:pPr>
        <w:ind w:left="720" w:hanging="360"/>
      </w:pPr>
      <w:rPr>
        <w:rFonts w:ascii="Cambria" w:hAnsi="Cambria" w:cs="Cambria" w:hint="default"/>
        <w:sz w:val="20"/>
      </w:rPr>
    </w:lvl>
    <w:lvl w:ilvl="1">
      <w:start w:val="1"/>
      <w:numFmt w:val="bullet"/>
      <w:lvlText w:val="-"/>
      <w:lvlJc w:val="left"/>
      <w:pPr>
        <w:ind w:left="2138" w:hanging="710"/>
      </w:pPr>
      <w:rPr>
        <w:rFonts w:ascii="Arial" w:hAnsi="Arial" w:cs="Arial"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
    <w:nsid w:val="32CA1A04"/>
    <w:multiLevelType w:val="hybridMultilevel"/>
    <w:tmpl w:val="99D2A650"/>
    <w:lvl w:ilvl="0" w:tplc="EF042E04">
      <w:numFmt w:val="bullet"/>
      <w:lvlText w:val="-"/>
      <w:lvlJc w:val="left"/>
      <w:pPr>
        <w:ind w:left="720" w:hanging="360"/>
      </w:pPr>
      <w:rPr>
        <w:rFonts w:ascii="Arial" w:eastAsiaTheme="minorHAnsi"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4D0F6AD6"/>
    <w:multiLevelType w:val="multilevel"/>
    <w:tmpl w:val="C9487F8C"/>
    <w:lvl w:ilvl="0">
      <w:start w:val="6"/>
      <w:numFmt w:val="bullet"/>
      <w:lvlText w:val="-"/>
      <w:lvlJc w:val="left"/>
      <w:pPr>
        <w:ind w:left="720" w:hanging="360"/>
      </w:pPr>
      <w:rPr>
        <w:rFonts w:ascii="Cambria" w:hAnsi="Cambria" w:cs="Cambri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E19643F"/>
    <w:multiLevelType w:val="multilevel"/>
    <w:tmpl w:val="47ECA5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55C83384"/>
    <w:multiLevelType w:val="multilevel"/>
    <w:tmpl w:val="136A3212"/>
    <w:lvl w:ilvl="0">
      <w:start w:val="6"/>
      <w:numFmt w:val="bullet"/>
      <w:lvlText w:val="-"/>
      <w:lvlJc w:val="left"/>
      <w:pPr>
        <w:ind w:left="720" w:hanging="360"/>
      </w:pPr>
      <w:rPr>
        <w:rFonts w:ascii="Cambria" w:hAnsi="Cambria" w:cs="Cambria" w:hint="default"/>
        <w:sz w:val="20"/>
      </w:rPr>
    </w:lvl>
    <w:lvl w:ilvl="1">
      <w:start w:val="1"/>
      <w:numFmt w:val="bullet"/>
      <w:lvlText w:val="-"/>
      <w:lvlJc w:val="left"/>
      <w:pPr>
        <w:ind w:left="2138" w:hanging="710"/>
      </w:pPr>
      <w:rPr>
        <w:rFonts w:ascii="Arial" w:hAnsi="Arial" w:cs="Arial"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7">
    <w:nsid w:val="58B01D39"/>
    <w:multiLevelType w:val="multilevel"/>
    <w:tmpl w:val="9A84489A"/>
    <w:lvl w:ilvl="0">
      <w:start w:val="29"/>
      <w:numFmt w:val="decimal"/>
      <w:lvlText w:val="%1."/>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78D60ABC"/>
    <w:multiLevelType w:val="multilevel"/>
    <w:tmpl w:val="21D69278"/>
    <w:lvl w:ilvl="0">
      <w:start w:val="3"/>
      <w:numFmt w:val="decimal"/>
      <w:lvlText w:val="%1"/>
      <w:lvlJc w:val="left"/>
      <w:pPr>
        <w:ind w:left="460" w:hanging="460"/>
      </w:pPr>
    </w:lvl>
    <w:lvl w:ilvl="1">
      <w:start w:val="3"/>
      <w:numFmt w:val="decimal"/>
      <w:lvlText w:val="%1.%2"/>
      <w:lvlJc w:val="left"/>
      <w:pPr>
        <w:ind w:left="814" w:hanging="46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4"/>
  </w:num>
  <w:num w:numId="2">
    <w:abstractNumId w:val="6"/>
  </w:num>
  <w:num w:numId="3">
    <w:abstractNumId w:val="2"/>
  </w:num>
  <w:num w:numId="4">
    <w:abstractNumId w:val="0"/>
  </w:num>
  <w:num w:numId="5">
    <w:abstractNumId w:val="1"/>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539"/>
    <w:rsid w:val="000A3379"/>
    <w:rsid w:val="000E6FD9"/>
    <w:rsid w:val="001A57EC"/>
    <w:rsid w:val="001A6235"/>
    <w:rsid w:val="00251196"/>
    <w:rsid w:val="002B7539"/>
    <w:rsid w:val="00355DFE"/>
    <w:rsid w:val="003E4EF1"/>
    <w:rsid w:val="0041161F"/>
    <w:rsid w:val="006B64A1"/>
    <w:rsid w:val="006C0B52"/>
    <w:rsid w:val="006F51C3"/>
    <w:rsid w:val="00715CE4"/>
    <w:rsid w:val="007E4586"/>
    <w:rsid w:val="0080575C"/>
    <w:rsid w:val="009467A9"/>
    <w:rsid w:val="009963A7"/>
    <w:rsid w:val="00A04F37"/>
    <w:rsid w:val="00A72A65"/>
    <w:rsid w:val="00AA3C7E"/>
    <w:rsid w:val="00B20F22"/>
    <w:rsid w:val="00B211B0"/>
    <w:rsid w:val="00B24FCF"/>
    <w:rsid w:val="00B9137B"/>
    <w:rsid w:val="00C22501"/>
    <w:rsid w:val="00D9600A"/>
    <w:rsid w:val="00DD18FF"/>
    <w:rsid w:val="00DE68F5"/>
    <w:rsid w:val="00F158F9"/>
    <w:rsid w:val="00FF7A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7B46F"/>
  <w15:docId w15:val="{D9631459-316A-074B-A5E2-B6F5DEBF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2392"/>
    <w:rPr>
      <w:rFonts w:ascii="Times New Roman" w:hAnsi="Times New Roman" w:cs="Times New Roman"/>
      <w:lang w:eastAsia="fr-FR"/>
    </w:rPr>
  </w:style>
  <w:style w:type="paragraph" w:styleId="Ttulo1">
    <w:name w:val="heading 1"/>
    <w:basedOn w:val="Normal"/>
    <w:next w:val="Normal"/>
    <w:link w:val="Ttulo1Car"/>
    <w:uiPriority w:val="9"/>
    <w:qFormat/>
    <w:rsid w:val="00830FAA"/>
    <w:pPr>
      <w:keepNext/>
      <w:keepLines/>
      <w:spacing w:before="240"/>
      <w:outlineLvl w:val="0"/>
    </w:pPr>
    <w:rPr>
      <w:rFonts w:asciiTheme="majorHAnsi" w:eastAsiaTheme="majorEastAsia" w:hAnsiTheme="majorHAnsi" w:cstheme="majorBidi"/>
      <w:color w:val="2F5496" w:themeColor="accent1" w:themeShade="BF"/>
      <w:sz w:val="32"/>
      <w:szCs w:val="3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link w:val="Prrafodelista"/>
    <w:uiPriority w:val="34"/>
    <w:qFormat/>
    <w:locked/>
    <w:rsid w:val="00B1755D"/>
    <w:rPr>
      <w:rFonts w:eastAsiaTheme="minorEastAsia"/>
      <w:lang w:val="es-ES_tradnl" w:eastAsia="es-ES"/>
    </w:rPr>
  </w:style>
  <w:style w:type="character" w:customStyle="1" w:styleId="EncabezadoCar">
    <w:name w:val="Encabezado Car"/>
    <w:basedOn w:val="Fuentedeprrafopredeter"/>
    <w:link w:val="Encabezado"/>
    <w:qFormat/>
    <w:rsid w:val="00B1755D"/>
    <w:rPr>
      <w:rFonts w:ascii="Arial" w:hAnsi="Arial" w:cs="Times New Roman"/>
      <w:i/>
      <w:color w:val="000000"/>
      <w:szCs w:val="20"/>
      <w:lang w:val="es-ES_tradnl" w:eastAsia="ar-SA"/>
    </w:rPr>
  </w:style>
  <w:style w:type="character" w:customStyle="1" w:styleId="PiedepginaCar">
    <w:name w:val="Pie de página Car"/>
    <w:basedOn w:val="Fuentedeprrafopredeter"/>
    <w:link w:val="Piedepgina"/>
    <w:uiPriority w:val="99"/>
    <w:qFormat/>
    <w:rsid w:val="00B1755D"/>
    <w:rPr>
      <w:rFonts w:ascii="Arial" w:hAnsi="Arial" w:cs="Times New Roman"/>
      <w:i/>
      <w:color w:val="000000"/>
      <w:szCs w:val="20"/>
      <w:lang w:val="es-ES_tradnl" w:eastAsia="ar-SA"/>
    </w:rPr>
  </w:style>
  <w:style w:type="character" w:styleId="Nmerodepgina">
    <w:name w:val="page number"/>
    <w:basedOn w:val="Fuentedeprrafopredeter"/>
    <w:uiPriority w:val="99"/>
    <w:semiHidden/>
    <w:unhideWhenUsed/>
    <w:qFormat/>
    <w:rsid w:val="00B1755D"/>
  </w:style>
  <w:style w:type="character" w:customStyle="1" w:styleId="Estilo2Car">
    <w:name w:val="Estilo2 Car"/>
    <w:basedOn w:val="Ttulo1Car"/>
    <w:link w:val="Estilo2"/>
    <w:qFormat/>
    <w:rsid w:val="00830FAA"/>
    <w:rPr>
      <w:rFonts w:ascii="Arial" w:eastAsia="Times New Roman" w:hAnsi="Arial" w:cs="Arial"/>
      <w:b/>
      <w:color w:val="2F5496" w:themeColor="accent1" w:themeShade="BF"/>
      <w:kern w:val="2"/>
      <w:sz w:val="48"/>
      <w:szCs w:val="48"/>
      <w:lang w:val="es-ES_tradnl" w:eastAsia="es-ES"/>
    </w:rPr>
  </w:style>
  <w:style w:type="character" w:customStyle="1" w:styleId="Ttulo1Car">
    <w:name w:val="Título 1 Car"/>
    <w:basedOn w:val="Fuentedeprrafopredeter"/>
    <w:link w:val="Ttulo1"/>
    <w:uiPriority w:val="9"/>
    <w:qFormat/>
    <w:rsid w:val="00830FAA"/>
    <w:rPr>
      <w:rFonts w:asciiTheme="majorHAnsi" w:eastAsiaTheme="majorEastAsia" w:hAnsiTheme="majorHAnsi" w:cstheme="majorBidi"/>
      <w:color w:val="2F5496" w:themeColor="accent1" w:themeShade="BF"/>
      <w:sz w:val="32"/>
      <w:szCs w:val="32"/>
      <w:lang w:val="es-ES_tradnl" w:eastAsia="es-ES_tradnl"/>
    </w:rPr>
  </w:style>
  <w:style w:type="character" w:customStyle="1" w:styleId="EnlacedeInternet">
    <w:name w:val="Enlace de Internet"/>
    <w:basedOn w:val="Fuentedeprrafopredeter"/>
    <w:uiPriority w:val="99"/>
    <w:unhideWhenUsed/>
    <w:rsid w:val="009F45BA"/>
    <w:rPr>
      <w:color w:val="0563C1" w:themeColor="hyperlink"/>
      <w:u w:val="single"/>
    </w:rPr>
  </w:style>
  <w:style w:type="character" w:customStyle="1" w:styleId="jlqj4b">
    <w:name w:val="jlqj4b"/>
    <w:basedOn w:val="Fuentedeprrafopredeter"/>
    <w:qFormat/>
    <w:rsid w:val="00756B13"/>
  </w:style>
  <w:style w:type="character" w:styleId="Hipervnculovisitado">
    <w:name w:val="FollowedHyperlink"/>
    <w:basedOn w:val="Fuentedeprrafopredeter"/>
    <w:uiPriority w:val="99"/>
    <w:semiHidden/>
    <w:unhideWhenUsed/>
    <w:qFormat/>
    <w:rsid w:val="00EB500E"/>
    <w:rPr>
      <w:color w:val="954F72" w:themeColor="followedHyperlink"/>
      <w:u w:val="single"/>
    </w:rPr>
  </w:style>
  <w:style w:type="character" w:customStyle="1" w:styleId="UnresolvedMention">
    <w:name w:val="Unresolved Mention"/>
    <w:basedOn w:val="Fuentedeprrafopredeter"/>
    <w:uiPriority w:val="99"/>
    <w:qFormat/>
    <w:rsid w:val="00EB500E"/>
    <w:rPr>
      <w:color w:val="605E5C"/>
      <w:shd w:val="clear" w:color="auto" w:fill="E1DFDD"/>
    </w:rPr>
  </w:style>
  <w:style w:type="character" w:customStyle="1" w:styleId="ListLabel1">
    <w:name w:val="ListLabel 1"/>
    <w:qFormat/>
    <w:rPr>
      <w:rFonts w:ascii="Arial" w:hAnsi="Arial"/>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Arial" w:hAnsi="Arial"/>
      <w:sz w:val="20"/>
    </w:rPr>
  </w:style>
  <w:style w:type="character" w:customStyle="1" w:styleId="ListLabel6">
    <w:name w:val="ListLabel 6"/>
    <w:qFormat/>
    <w:rPr>
      <w:rFonts w:eastAsia="MS Mincho"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Arial" w:hAnsi="Arial"/>
      <w:sz w:val="20"/>
    </w:rPr>
  </w:style>
  <w:style w:type="character" w:customStyle="1" w:styleId="ListLabel10">
    <w:name w:val="ListLabel 10"/>
    <w:qFormat/>
    <w:rPr>
      <w:rFonts w:eastAsia="MS Mincho" w:cs="Arial"/>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Arial" w:hAnsi="Arial"/>
      <w:sz w:val="20"/>
    </w:rPr>
  </w:style>
  <w:style w:type="character" w:customStyle="1" w:styleId="ListLabel14">
    <w:name w:val="ListLabel 14"/>
    <w:qFormat/>
    <w:rPr>
      <w:rFonts w:eastAsia="MS Mincho" w:cs="Arial"/>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Calibri" w:cs="Times New Roman"/>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rPr>
  </w:style>
  <w:style w:type="character" w:customStyle="1" w:styleId="ListLabel30">
    <w:name w:val="ListLabel 30"/>
    <w:qFormat/>
    <w:rPr>
      <w:b w:val="0"/>
      <w:sz w:val="20"/>
    </w:rPr>
  </w:style>
  <w:style w:type="character" w:customStyle="1" w:styleId="ListLabel31">
    <w:name w:val="ListLabel 31"/>
    <w:qFormat/>
    <w:rPr>
      <w:rFonts w:ascii="Arial" w:hAnsi="Arial" w:cs="Arial"/>
      <w:sz w:val="20"/>
      <w:szCs w:val="20"/>
      <w:lang w:val="es-ES"/>
    </w:rPr>
  </w:style>
  <w:style w:type="paragraph" w:styleId="Puesto">
    <w:name w:val="Title"/>
    <w:basedOn w:val="Normal"/>
    <w:next w:val="Textoindependiente"/>
    <w:qFormat/>
    <w:pPr>
      <w:keepNext/>
      <w:spacing w:before="240" w:after="120"/>
    </w:pPr>
    <w:rPr>
      <w:rFonts w:ascii="Liberation Sans" w:eastAsia="WenQuanYi Micro Hei"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Prrafodelista">
    <w:name w:val="List Paragraph"/>
    <w:basedOn w:val="Normal"/>
    <w:link w:val="PrrafodelistaCar"/>
    <w:uiPriority w:val="34"/>
    <w:qFormat/>
    <w:rsid w:val="00B1755D"/>
    <w:pPr>
      <w:ind w:left="720"/>
      <w:contextualSpacing/>
    </w:pPr>
    <w:rPr>
      <w:rFonts w:asciiTheme="minorHAnsi" w:eastAsiaTheme="minorEastAsia" w:hAnsiTheme="minorHAnsi" w:cstheme="minorBidi"/>
      <w:lang w:val="es-ES_tradnl" w:eastAsia="es-ES"/>
    </w:rPr>
  </w:style>
  <w:style w:type="paragraph" w:styleId="Encabezado">
    <w:name w:val="header"/>
    <w:basedOn w:val="Normal"/>
    <w:link w:val="EncabezadoCar"/>
    <w:rsid w:val="00B1755D"/>
    <w:pPr>
      <w:tabs>
        <w:tab w:val="center" w:pos="4252"/>
        <w:tab w:val="right" w:pos="8504"/>
      </w:tabs>
      <w:suppressAutoHyphens/>
    </w:pPr>
    <w:rPr>
      <w:rFonts w:ascii="Arial" w:hAnsi="Arial"/>
      <w:i/>
      <w:color w:val="000000"/>
      <w:szCs w:val="20"/>
      <w:lang w:val="es-ES_tradnl" w:eastAsia="ar-SA"/>
    </w:rPr>
  </w:style>
  <w:style w:type="paragraph" w:styleId="Piedepgina">
    <w:name w:val="footer"/>
    <w:basedOn w:val="Normal"/>
    <w:link w:val="PiedepginaCar"/>
    <w:uiPriority w:val="99"/>
    <w:rsid w:val="00B1755D"/>
    <w:pPr>
      <w:tabs>
        <w:tab w:val="center" w:pos="4252"/>
        <w:tab w:val="right" w:pos="8504"/>
      </w:tabs>
      <w:suppressAutoHyphens/>
    </w:pPr>
    <w:rPr>
      <w:rFonts w:ascii="Arial" w:hAnsi="Arial"/>
      <w:i/>
      <w:color w:val="000000"/>
      <w:szCs w:val="20"/>
      <w:lang w:val="es-ES_tradnl" w:eastAsia="ar-SA"/>
    </w:rPr>
  </w:style>
  <w:style w:type="paragraph" w:customStyle="1" w:styleId="Estilo1">
    <w:name w:val="Estilo1"/>
    <w:basedOn w:val="Ttulo1"/>
    <w:qFormat/>
    <w:rsid w:val="00830FAA"/>
    <w:pPr>
      <w:keepLines w:val="0"/>
      <w:spacing w:before="0" w:line="360" w:lineRule="auto"/>
      <w:jc w:val="both"/>
    </w:pPr>
    <w:rPr>
      <w:rFonts w:ascii="Arial" w:eastAsia="Times New Roman" w:hAnsi="Arial" w:cs="Arial"/>
      <w:b/>
      <w:color w:val="000000"/>
      <w:sz w:val="24"/>
      <w:szCs w:val="24"/>
      <w:lang w:eastAsia="es-ES"/>
    </w:rPr>
  </w:style>
  <w:style w:type="paragraph" w:customStyle="1" w:styleId="Estilo2">
    <w:name w:val="Estilo2"/>
    <w:basedOn w:val="Ttulo1"/>
    <w:link w:val="Estilo2Car"/>
    <w:qFormat/>
    <w:rsid w:val="00830FAA"/>
    <w:pPr>
      <w:keepLines w:val="0"/>
      <w:spacing w:before="0" w:line="360" w:lineRule="auto"/>
      <w:jc w:val="both"/>
    </w:pPr>
    <w:rPr>
      <w:rFonts w:ascii="Arial" w:eastAsia="Times New Roman" w:hAnsi="Arial" w:cs="Arial"/>
      <w:b/>
      <w:kern w:val="2"/>
      <w:sz w:val="48"/>
      <w:szCs w:val="48"/>
      <w:lang w:eastAsia="es-ES"/>
    </w:rPr>
  </w:style>
  <w:style w:type="paragraph" w:customStyle="1" w:styleId="Estilo3">
    <w:name w:val="Estilo3"/>
    <w:basedOn w:val="Estilo2"/>
    <w:qFormat/>
    <w:rsid w:val="00830FAA"/>
    <w:pPr>
      <w:tabs>
        <w:tab w:val="left" w:pos="360"/>
      </w:tabs>
      <w:ind w:left="720" w:hanging="720"/>
    </w:pPr>
  </w:style>
  <w:style w:type="paragraph" w:styleId="Sinespaciado">
    <w:name w:val="No Spacing"/>
    <w:uiPriority w:val="1"/>
    <w:qFormat/>
    <w:rsid w:val="00C50936"/>
    <w:rPr>
      <w:rFonts w:ascii="Calibri" w:eastAsiaTheme="minorEastAsia" w:hAnsi="Calibri"/>
      <w:sz w:val="22"/>
      <w:szCs w:val="22"/>
      <w:lang w:val="en-US" w:eastAsia="zh-CN"/>
    </w:rPr>
  </w:style>
  <w:style w:type="paragraph" w:customStyle="1" w:styleId="Contenidodelmarco">
    <w:name w:val="Contenido del marco"/>
    <w:basedOn w:val="Normal"/>
    <w:qFormat/>
  </w:style>
  <w:style w:type="table" w:styleId="Tablaconlista3">
    <w:name w:val="Table List 3"/>
    <w:basedOn w:val="Tablanormal"/>
    <w:rsid w:val="00B1755D"/>
    <w:rPr>
      <w:sz w:val="20"/>
      <w:szCs w:val="20"/>
      <w:lang w:val="es-ES" w:eastAsia="es-E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color w:val="000080"/>
      </w:rPr>
    </w:tblStylePr>
  </w:style>
  <w:style w:type="table" w:styleId="Tablaconcuadrcula">
    <w:name w:val="Table Grid"/>
    <w:basedOn w:val="Tablanormal"/>
    <w:uiPriority w:val="39"/>
    <w:rsid w:val="00694C13"/>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file>

<file path=customXml/itemProps1.xml><?xml version="1.0" encoding="utf-8"?>
<ds:datastoreItem xmlns:ds="http://schemas.openxmlformats.org/officeDocument/2006/customXml" ds:itemID="{8B8166AF-5CE6-5E44-B71B-2C842277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6090</Words>
  <Characters>33499</Characters>
  <Application>Microsoft Macintosh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dc:description/>
  <cp:lastModifiedBy>carolinaoliver80@gmail.com</cp:lastModifiedBy>
  <cp:revision>12</cp:revision>
  <dcterms:created xsi:type="dcterms:W3CDTF">2021-01-29T10:51:00Z</dcterms:created>
  <dcterms:modified xsi:type="dcterms:W3CDTF">2021-06-27T20:05:00Z</dcterms:modified>
  <dc:language>es-UY</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http://www.zotero.org/styles/plos-one</vt:lpwstr>
  </property>
  <property fmtid="{D5CDD505-2E9C-101B-9397-08002B2CF9AE}" pid="7" name="Mendeley Document_1">
    <vt:lpwstr>True</vt:lpwstr>
  </property>
  <property fmtid="{D5CDD505-2E9C-101B-9397-08002B2CF9AE}" pid="8" name="Mendeley Recent Style Id 0_1">
    <vt:lpwstr>http://www.zotero.org/styles/american-medical-association</vt:lpwstr>
  </property>
  <property fmtid="{D5CDD505-2E9C-101B-9397-08002B2CF9AE}" pid="9" name="Mendeley Recent Style Id 1_1">
    <vt:lpwstr>http://www.zotero.org/styles/apa</vt:lpwstr>
  </property>
  <property fmtid="{D5CDD505-2E9C-101B-9397-08002B2CF9AE}" pid="10" name="Mendeley Recent Style Id 2_1">
    <vt:lpwstr>http://www.zotero.org/styles/american-sociological-association</vt:lpwstr>
  </property>
  <property fmtid="{D5CDD505-2E9C-101B-9397-08002B2CF9AE}" pid="11" name="Mendeley Recent Style Id 3_1">
    <vt:lpwstr>http://www.zotero.org/styles/chicago-author-date</vt:lpwstr>
  </property>
  <property fmtid="{D5CDD505-2E9C-101B-9397-08002B2CF9AE}" pid="12" name="Mendeley Recent Style Id 4_1">
    <vt:lpwstr>http://www.zotero.org/styles/harvard-cite-them-right</vt:lpwstr>
  </property>
  <property fmtid="{D5CDD505-2E9C-101B-9397-08002B2CF9AE}" pid="13" name="Mendeley Recent Style Id 5_1">
    <vt:lpwstr>http://www.zotero.org/styles/ieee</vt:lpwstr>
  </property>
  <property fmtid="{D5CDD505-2E9C-101B-9397-08002B2CF9AE}" pid="14" name="Mendeley Recent Style Id 6_1">
    <vt:lpwstr>http://www.zotero.org/styles/modern-humanities-research-association</vt:lpwstr>
  </property>
  <property fmtid="{D5CDD505-2E9C-101B-9397-08002B2CF9AE}" pid="15" name="Mendeley Recent Style Id 7_1">
    <vt:lpwstr>http://www.zotero.org/styles/modern-language-association</vt:lpwstr>
  </property>
  <property fmtid="{D5CDD505-2E9C-101B-9397-08002B2CF9AE}" pid="16" name="Mendeley Recent Style Id 8_1">
    <vt:lpwstr>http://www.zotero.org/styles/nature</vt:lpwstr>
  </property>
  <property fmtid="{D5CDD505-2E9C-101B-9397-08002B2CF9AE}" pid="17" name="Mendeley Recent Style Id 9_1">
    <vt:lpwstr>http://www.zotero.org/styles/plos-one</vt:lpwstr>
  </property>
  <property fmtid="{D5CDD505-2E9C-101B-9397-08002B2CF9AE}" pid="18" name="Mendeley Recent Style Name 0_1">
    <vt:lpwstr>American Medical Association 11th edition</vt:lpwstr>
  </property>
  <property fmtid="{D5CDD505-2E9C-101B-9397-08002B2CF9AE}" pid="19" name="Mendeley Recent Style Name 1_1">
    <vt:lpwstr>American Psychological Association 7th edition</vt:lpwstr>
  </property>
  <property fmtid="{D5CDD505-2E9C-101B-9397-08002B2CF9AE}" pid="20" name="Mendeley Recent Style Name 2_1">
    <vt:lpwstr>American Sociological Association 6th edition</vt:lpwstr>
  </property>
  <property fmtid="{D5CDD505-2E9C-101B-9397-08002B2CF9AE}" pid="21" name="Mendeley Recent Style Name 3_1">
    <vt:lpwstr>Chicago Manual of Style 17th edition (author-date)</vt:lpwstr>
  </property>
  <property fmtid="{D5CDD505-2E9C-101B-9397-08002B2CF9AE}" pid="22" name="Mendeley Recent Style Name 4_1">
    <vt:lpwstr>Cite Them Right 10th edition - Harvard</vt:lpwstr>
  </property>
  <property fmtid="{D5CDD505-2E9C-101B-9397-08002B2CF9AE}" pid="23" name="Mendeley Recent Style Name 5_1">
    <vt:lpwstr>IEEE</vt:lpwstr>
  </property>
  <property fmtid="{D5CDD505-2E9C-101B-9397-08002B2CF9AE}" pid="24" name="Mendeley Recent Style Name 6_1">
    <vt:lpwstr>Modern Humanities Research Association 3rd edition (note with bibliography)</vt:lpwstr>
  </property>
  <property fmtid="{D5CDD505-2E9C-101B-9397-08002B2CF9AE}" pid="25" name="Mendeley Recent Style Name 7_1">
    <vt:lpwstr>Modern Language Association 8th edition</vt:lpwstr>
  </property>
  <property fmtid="{D5CDD505-2E9C-101B-9397-08002B2CF9AE}" pid="26" name="Mendeley Recent Style Name 8_1">
    <vt:lpwstr>Nature</vt:lpwstr>
  </property>
  <property fmtid="{D5CDD505-2E9C-101B-9397-08002B2CF9AE}" pid="27" name="Mendeley Recent Style Name 9_1">
    <vt:lpwstr>PLOS ONE</vt:lpwstr>
  </property>
  <property fmtid="{D5CDD505-2E9C-101B-9397-08002B2CF9AE}" pid="28" name="Mendeley Unique User Id_1">
    <vt:lpwstr>228ed531-b84b-30c2-b6c1-389427c7d3eb</vt:lpwstr>
  </property>
  <property fmtid="{D5CDD505-2E9C-101B-9397-08002B2CF9AE}" pid="29" name="ScaleCrop">
    <vt:bool>false</vt:bool>
  </property>
  <property fmtid="{D5CDD505-2E9C-101B-9397-08002B2CF9AE}" pid="30" name="ShareDoc">
    <vt:bool>false</vt:bool>
  </property>
</Properties>
</file>